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96D8" w14:textId="709DC2CB" w:rsidR="00A7148F" w:rsidRPr="00D2203A" w:rsidRDefault="00A555FC" w:rsidP="003B421A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985"/>
          <w:tab w:val="left" w:pos="2127"/>
        </w:tabs>
        <w:spacing w:after="0"/>
        <w:contextualSpacing/>
        <w:jc w:val="center"/>
        <w:rPr>
          <w:rFonts w:eastAsia="Carlito"/>
          <w:b/>
        </w:rPr>
      </w:pPr>
      <w:r w:rsidRPr="00D2203A">
        <w:rPr>
          <w:rFonts w:eastAsia="Carlito"/>
          <w:b/>
        </w:rPr>
        <w:t xml:space="preserve">PORTARIA NORMATIVA </w:t>
      </w:r>
      <w:r w:rsidR="00E568C8" w:rsidRPr="00D2203A">
        <w:rPr>
          <w:rFonts w:eastAsia="Carlito"/>
          <w:b/>
        </w:rPr>
        <w:t xml:space="preserve">CAU/DF </w:t>
      </w:r>
      <w:r w:rsidRPr="00D2203A">
        <w:rPr>
          <w:rFonts w:eastAsia="Carlito"/>
          <w:b/>
        </w:rPr>
        <w:t xml:space="preserve">Nº </w:t>
      </w:r>
      <w:r w:rsidR="00D2203A" w:rsidRPr="00D2203A">
        <w:rPr>
          <w:rFonts w:eastAsia="Carlito"/>
          <w:b/>
        </w:rPr>
        <w:t>5</w:t>
      </w:r>
      <w:r w:rsidRPr="00D2203A">
        <w:rPr>
          <w:rFonts w:eastAsia="Carlito"/>
          <w:b/>
        </w:rPr>
        <w:t xml:space="preserve">, DE </w:t>
      </w:r>
      <w:r w:rsidR="00F777C0">
        <w:rPr>
          <w:rFonts w:eastAsia="Carlito"/>
          <w:b/>
        </w:rPr>
        <w:t xml:space="preserve">15 </w:t>
      </w:r>
      <w:r w:rsidRPr="00D2203A">
        <w:rPr>
          <w:rFonts w:eastAsia="Carlito"/>
          <w:b/>
        </w:rPr>
        <w:t xml:space="preserve">DE </w:t>
      </w:r>
      <w:r w:rsidR="00E568C8" w:rsidRPr="00D2203A">
        <w:rPr>
          <w:rFonts w:eastAsia="Carlito"/>
          <w:b/>
        </w:rPr>
        <w:t>FEVEREIRO</w:t>
      </w:r>
      <w:r w:rsidRPr="00D2203A">
        <w:rPr>
          <w:rFonts w:eastAsia="Carlito"/>
          <w:b/>
        </w:rPr>
        <w:t xml:space="preserve"> DE 20</w:t>
      </w:r>
      <w:r w:rsidR="004F3FB1" w:rsidRPr="00D2203A">
        <w:rPr>
          <w:rFonts w:eastAsia="Carlito"/>
          <w:b/>
        </w:rPr>
        <w:t>2</w:t>
      </w:r>
      <w:r w:rsidR="00E568C8" w:rsidRPr="00D2203A">
        <w:rPr>
          <w:rFonts w:eastAsia="Carlito"/>
          <w:b/>
        </w:rPr>
        <w:t>3</w:t>
      </w:r>
    </w:p>
    <w:p w14:paraId="2EB84390" w14:textId="06878B81" w:rsidR="00707B4E" w:rsidRPr="00D2203A" w:rsidRDefault="00707B4E" w:rsidP="003B421A">
      <w:pPr>
        <w:tabs>
          <w:tab w:val="left" w:pos="1843"/>
          <w:tab w:val="left" w:pos="1985"/>
          <w:tab w:val="left" w:pos="2127"/>
        </w:tabs>
        <w:spacing w:after="0"/>
        <w:ind w:firstLine="1418"/>
        <w:contextualSpacing/>
        <w:rPr>
          <w:rFonts w:eastAsia="Carlito"/>
        </w:rPr>
      </w:pPr>
    </w:p>
    <w:p w14:paraId="18FF7A14" w14:textId="77777777" w:rsidR="0007612F" w:rsidRPr="00D2203A" w:rsidRDefault="0007612F" w:rsidP="003B421A">
      <w:pPr>
        <w:tabs>
          <w:tab w:val="left" w:pos="1843"/>
          <w:tab w:val="left" w:pos="1985"/>
          <w:tab w:val="left" w:pos="2127"/>
        </w:tabs>
        <w:spacing w:after="0"/>
        <w:ind w:firstLine="1418"/>
        <w:contextualSpacing/>
        <w:rPr>
          <w:rFonts w:eastAsia="Carlito"/>
        </w:rPr>
      </w:pPr>
    </w:p>
    <w:p w14:paraId="69F775FC" w14:textId="67EBFE21" w:rsidR="00A7148F" w:rsidRPr="00D2203A" w:rsidRDefault="008F236D" w:rsidP="003B421A">
      <w:pPr>
        <w:tabs>
          <w:tab w:val="left" w:pos="1843"/>
          <w:tab w:val="left" w:pos="1985"/>
          <w:tab w:val="left" w:pos="2127"/>
        </w:tabs>
        <w:spacing w:after="0"/>
        <w:ind w:left="5103"/>
        <w:contextualSpacing/>
        <w:rPr>
          <w:rFonts w:eastAsia="Carlito"/>
        </w:rPr>
      </w:pPr>
      <w:r w:rsidRPr="00D2203A">
        <w:rPr>
          <w:rFonts w:eastAsia="Carlito"/>
        </w:rPr>
        <w:t>Regulamenta o</w:t>
      </w:r>
      <w:r w:rsidR="00047E0F" w:rsidRPr="00D2203A">
        <w:rPr>
          <w:rFonts w:eastAsia="Carlito"/>
        </w:rPr>
        <w:t xml:space="preserve"> repasse</w:t>
      </w:r>
      <w:r w:rsidRPr="00D2203A">
        <w:rPr>
          <w:rFonts w:eastAsia="Carlito"/>
        </w:rPr>
        <w:t xml:space="preserve"> </w:t>
      </w:r>
      <w:r w:rsidR="001541F6" w:rsidRPr="00D2203A">
        <w:rPr>
          <w:rFonts w:eastAsia="Carlito"/>
        </w:rPr>
        <w:t>de</w:t>
      </w:r>
      <w:r w:rsidR="004F2C6E" w:rsidRPr="00D2203A">
        <w:rPr>
          <w:rFonts w:eastAsia="Carlito"/>
        </w:rPr>
        <w:t xml:space="preserve"> </w:t>
      </w:r>
      <w:r w:rsidR="003E613E" w:rsidRPr="00D2203A">
        <w:rPr>
          <w:rFonts w:eastAsia="Carlito"/>
        </w:rPr>
        <w:t>honorários advocatícios de sucumbência</w:t>
      </w:r>
      <w:r w:rsidR="004F2C6E" w:rsidRPr="00D2203A">
        <w:rPr>
          <w:rFonts w:eastAsia="Carlito"/>
        </w:rPr>
        <w:t xml:space="preserve"> no âmbito do Conselho de Arquitetura e Urbanismo</w:t>
      </w:r>
      <w:r w:rsidR="005238D7" w:rsidRPr="00D2203A">
        <w:rPr>
          <w:rFonts w:eastAsia="Carlito"/>
        </w:rPr>
        <w:t xml:space="preserve"> Distrito Federal (CAU/DF)</w:t>
      </w:r>
      <w:r w:rsidR="005473EB" w:rsidRPr="00D2203A">
        <w:rPr>
          <w:rFonts w:eastAsia="Carlito"/>
        </w:rPr>
        <w:t>.</w:t>
      </w:r>
    </w:p>
    <w:p w14:paraId="0D033929" w14:textId="1BFB1D2C" w:rsidR="003C338B" w:rsidRPr="00D2203A" w:rsidRDefault="003C338B" w:rsidP="003B421A">
      <w:pPr>
        <w:tabs>
          <w:tab w:val="left" w:pos="1843"/>
          <w:tab w:val="left" w:pos="1985"/>
          <w:tab w:val="left" w:pos="2127"/>
        </w:tabs>
        <w:spacing w:after="0"/>
        <w:ind w:firstLine="1418"/>
        <w:contextualSpacing/>
        <w:rPr>
          <w:rFonts w:eastAsia="Carlito"/>
        </w:rPr>
      </w:pPr>
    </w:p>
    <w:p w14:paraId="0B9AD48A" w14:textId="77777777" w:rsidR="0007612F" w:rsidRPr="00D2203A" w:rsidRDefault="0007612F" w:rsidP="003B421A">
      <w:pPr>
        <w:tabs>
          <w:tab w:val="left" w:pos="1843"/>
          <w:tab w:val="left" w:pos="1985"/>
          <w:tab w:val="left" w:pos="2127"/>
        </w:tabs>
        <w:spacing w:after="0"/>
        <w:ind w:firstLine="1418"/>
        <w:contextualSpacing/>
        <w:rPr>
          <w:rFonts w:eastAsia="Carlito"/>
        </w:rPr>
      </w:pPr>
    </w:p>
    <w:p w14:paraId="1C284C28" w14:textId="13822144" w:rsidR="007B5C65" w:rsidRPr="00D2203A" w:rsidRDefault="00A555FC" w:rsidP="003B421A">
      <w:pPr>
        <w:tabs>
          <w:tab w:val="left" w:pos="567"/>
          <w:tab w:val="left" w:pos="851"/>
          <w:tab w:val="left" w:pos="1134"/>
        </w:tabs>
        <w:spacing w:after="0"/>
        <w:contextualSpacing/>
        <w:rPr>
          <w:rFonts w:eastAsia="Carlito"/>
        </w:rPr>
      </w:pPr>
      <w:r w:rsidRPr="00D2203A">
        <w:rPr>
          <w:rFonts w:eastAsia="Carlito"/>
        </w:rPr>
        <w:t xml:space="preserve">A </w:t>
      </w:r>
      <w:r w:rsidR="007B5C65" w:rsidRPr="00D2203A">
        <w:rPr>
          <w:rFonts w:eastAsia="Carlito"/>
        </w:rPr>
        <w:t xml:space="preserve">PRESIDENTE DO CONSELHO DE ARQUITETURA E URBANISMO DO DISTRITO FEDERAL </w:t>
      </w:r>
      <w:r w:rsidRPr="00D2203A">
        <w:rPr>
          <w:rFonts w:eastAsia="Carlito"/>
        </w:rPr>
        <w:t xml:space="preserve">(CAU/DF), no uso das atribuições que lhe conferem o art. 35 da Lei n° 12.378, de 31 de dezembro de 2010, </w:t>
      </w:r>
      <w:r w:rsidR="006D6725" w:rsidRPr="00D2203A">
        <w:rPr>
          <w:rFonts w:eastAsia="Carlito"/>
        </w:rPr>
        <w:t>e o art. 140 do Regimento Interno do CAU/DF, homologado em 27 de agosto de 2021, pela Deliberação Plenária DPOBR nº 0115-08/2021</w:t>
      </w:r>
      <w:r w:rsidR="0025569D" w:rsidRPr="00D2203A">
        <w:rPr>
          <w:rFonts w:eastAsia="Carlito"/>
        </w:rPr>
        <w:t xml:space="preserve">, </w:t>
      </w:r>
      <w:r w:rsidR="00B76A1C" w:rsidRPr="00D2203A">
        <w:rPr>
          <w:rFonts w:eastAsia="Carlito"/>
        </w:rPr>
        <w:t>face ao</w:t>
      </w:r>
      <w:r w:rsidR="007F252E" w:rsidRPr="00D2203A">
        <w:rPr>
          <w:rFonts w:eastAsia="Carlito"/>
        </w:rPr>
        <w:t xml:space="preserve"> </w:t>
      </w:r>
      <w:r w:rsidR="00B12632" w:rsidRPr="00D2203A">
        <w:rPr>
          <w:rFonts w:eastAsia="Carlito"/>
        </w:rPr>
        <w:t xml:space="preserve">constante do </w:t>
      </w:r>
      <w:r w:rsidR="007F252E" w:rsidRPr="00D2203A">
        <w:rPr>
          <w:rFonts w:eastAsia="Carlito"/>
        </w:rPr>
        <w:t xml:space="preserve">processo </w:t>
      </w:r>
      <w:r w:rsidR="00126081" w:rsidRPr="00D2203A">
        <w:rPr>
          <w:rFonts w:eastAsia="Carlito"/>
        </w:rPr>
        <w:t xml:space="preserve">CAU/DF nº </w:t>
      </w:r>
      <w:r w:rsidR="001541F6" w:rsidRPr="00D2203A">
        <w:rPr>
          <w:rFonts w:eastAsia="Carlito"/>
        </w:rPr>
        <w:t>1657192/2022</w:t>
      </w:r>
      <w:r w:rsidR="008677E5" w:rsidRPr="00D2203A">
        <w:rPr>
          <w:rFonts w:eastAsia="Carlito"/>
        </w:rPr>
        <w:t>,</w:t>
      </w:r>
      <w:r w:rsidR="00B12632" w:rsidRPr="00D2203A">
        <w:rPr>
          <w:rFonts w:eastAsia="Carlito"/>
        </w:rPr>
        <w:t xml:space="preserve"> e após análise do</w:t>
      </w:r>
      <w:r w:rsidR="0018476C" w:rsidRPr="00D2203A">
        <w:rPr>
          <w:rFonts w:eastAsia="Carlito"/>
        </w:rPr>
        <w:t xml:space="preserve"> assunto em epígrafe</w:t>
      </w:r>
      <w:r w:rsidR="007F252E" w:rsidRPr="00D2203A">
        <w:rPr>
          <w:rFonts w:eastAsia="Carlito"/>
        </w:rPr>
        <w:t>,</w:t>
      </w:r>
    </w:p>
    <w:p w14:paraId="0242F32A" w14:textId="5D775458" w:rsidR="00E84B72" w:rsidRPr="00D2203A" w:rsidRDefault="00E84B72" w:rsidP="003B421A">
      <w:pPr>
        <w:tabs>
          <w:tab w:val="left" w:pos="567"/>
          <w:tab w:val="left" w:pos="851"/>
          <w:tab w:val="left" w:pos="1134"/>
        </w:tabs>
        <w:spacing w:after="0"/>
        <w:contextualSpacing/>
        <w:rPr>
          <w:rFonts w:eastAsia="Carlito"/>
        </w:rPr>
      </w:pPr>
    </w:p>
    <w:p w14:paraId="45EB95C1" w14:textId="79DCD92A" w:rsidR="00E84B72" w:rsidRPr="00D2203A" w:rsidRDefault="00E84B72" w:rsidP="003B421A">
      <w:pPr>
        <w:tabs>
          <w:tab w:val="left" w:pos="567"/>
          <w:tab w:val="left" w:pos="851"/>
          <w:tab w:val="left" w:pos="1134"/>
        </w:tabs>
        <w:spacing w:after="0"/>
        <w:contextualSpacing/>
        <w:rPr>
          <w:rFonts w:eastAsia="Carlito"/>
        </w:rPr>
      </w:pPr>
    </w:p>
    <w:p w14:paraId="2884081C" w14:textId="3088E200" w:rsidR="00E84B72" w:rsidRPr="00D2203A" w:rsidRDefault="00E84B72" w:rsidP="003B421A">
      <w:pPr>
        <w:tabs>
          <w:tab w:val="left" w:pos="567"/>
          <w:tab w:val="left" w:pos="851"/>
          <w:tab w:val="left" w:pos="1134"/>
        </w:tabs>
        <w:spacing w:after="0"/>
        <w:contextualSpacing/>
        <w:rPr>
          <w:rFonts w:eastAsia="Carlito"/>
          <w:b/>
          <w:bCs/>
        </w:rPr>
      </w:pPr>
      <w:r w:rsidRPr="00D2203A">
        <w:rPr>
          <w:rFonts w:eastAsia="Carlito"/>
          <w:b/>
          <w:bCs/>
        </w:rPr>
        <w:t>RESOLVE:</w:t>
      </w:r>
    </w:p>
    <w:p w14:paraId="36161207" w14:textId="5B6B1B23" w:rsidR="00E37016" w:rsidRPr="00D2203A" w:rsidRDefault="00E37016" w:rsidP="003B421A">
      <w:pPr>
        <w:tabs>
          <w:tab w:val="left" w:pos="567"/>
          <w:tab w:val="left" w:pos="851"/>
          <w:tab w:val="left" w:pos="1134"/>
        </w:tabs>
        <w:spacing w:after="0"/>
        <w:contextualSpacing/>
        <w:rPr>
          <w:rFonts w:eastAsia="Carlito"/>
        </w:rPr>
      </w:pPr>
    </w:p>
    <w:p w14:paraId="36FD0514" w14:textId="77777777" w:rsidR="00E84B72" w:rsidRPr="00D2203A" w:rsidRDefault="00E84B72" w:rsidP="003B421A">
      <w:pPr>
        <w:tabs>
          <w:tab w:val="left" w:pos="567"/>
          <w:tab w:val="left" w:pos="851"/>
          <w:tab w:val="left" w:pos="1134"/>
        </w:tabs>
        <w:spacing w:after="0"/>
        <w:contextualSpacing/>
        <w:rPr>
          <w:rFonts w:eastAsia="Carlito"/>
        </w:rPr>
      </w:pPr>
    </w:p>
    <w:p w14:paraId="65DCA357" w14:textId="63813591" w:rsidR="00FD23D8" w:rsidRPr="00D2203A" w:rsidRDefault="00AA21D4" w:rsidP="003B421A">
      <w:pPr>
        <w:pStyle w:val="PargrafodaLista"/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701"/>
        </w:tabs>
        <w:spacing w:after="0"/>
        <w:ind w:left="0" w:firstLine="0"/>
        <w:rPr>
          <w:rFonts w:eastAsia="Carlito"/>
        </w:rPr>
      </w:pPr>
      <w:r w:rsidRPr="00D2203A">
        <w:rPr>
          <w:rFonts w:eastAsia="Carlito"/>
        </w:rPr>
        <w:t>Regulamenta</w:t>
      </w:r>
      <w:r w:rsidR="000C782E" w:rsidRPr="00D2203A">
        <w:rPr>
          <w:rFonts w:eastAsia="Carlito"/>
        </w:rPr>
        <w:t xml:space="preserve">r o </w:t>
      </w:r>
      <w:r w:rsidR="00047E0F" w:rsidRPr="00D2203A">
        <w:rPr>
          <w:rFonts w:eastAsia="Carlito"/>
        </w:rPr>
        <w:t xml:space="preserve">repasse </w:t>
      </w:r>
      <w:r w:rsidR="0038213D" w:rsidRPr="00D2203A">
        <w:rPr>
          <w:rFonts w:eastAsia="Carlito"/>
        </w:rPr>
        <w:t>de honorários advocatícios de sucumbência no âmbito do Conselho de Arquitetura e Urbanismo Distrito Federal (CAU/DF)</w:t>
      </w:r>
      <w:r w:rsidR="00E00F87" w:rsidRPr="00D2203A">
        <w:rPr>
          <w:rFonts w:eastAsia="Carlito"/>
        </w:rPr>
        <w:t xml:space="preserve">, </w:t>
      </w:r>
      <w:r w:rsidR="0096269E" w:rsidRPr="00D2203A">
        <w:rPr>
          <w:rFonts w:eastAsia="Carlito"/>
        </w:rPr>
        <w:t>nos termos</w:t>
      </w:r>
      <w:r w:rsidR="00E00F87" w:rsidRPr="00D2203A">
        <w:rPr>
          <w:rFonts w:eastAsia="Carlito"/>
        </w:rPr>
        <w:t xml:space="preserve"> desta Portaria Normativa.</w:t>
      </w:r>
    </w:p>
    <w:p w14:paraId="0F18A537" w14:textId="77777777" w:rsidR="006C529D" w:rsidRPr="00D2203A" w:rsidRDefault="006C529D" w:rsidP="006C529D">
      <w:pPr>
        <w:pStyle w:val="PargrafodaLista"/>
        <w:tabs>
          <w:tab w:val="left" w:pos="567"/>
          <w:tab w:val="left" w:pos="851"/>
          <w:tab w:val="left" w:pos="1134"/>
          <w:tab w:val="left" w:pos="1701"/>
        </w:tabs>
        <w:spacing w:after="0"/>
        <w:ind w:left="0"/>
        <w:rPr>
          <w:rFonts w:eastAsia="Carlito"/>
        </w:rPr>
      </w:pPr>
    </w:p>
    <w:p w14:paraId="3FD5AA29" w14:textId="7D5FFB8C" w:rsidR="00736384" w:rsidRPr="00D2203A" w:rsidRDefault="00736384" w:rsidP="00736384">
      <w:pPr>
        <w:pStyle w:val="PargrafodaLista"/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701"/>
        </w:tabs>
        <w:spacing w:after="0"/>
        <w:ind w:left="0" w:firstLine="0"/>
        <w:rPr>
          <w:rFonts w:eastAsia="Carlito"/>
        </w:rPr>
      </w:pPr>
      <w:r w:rsidRPr="00D2203A">
        <w:rPr>
          <w:rFonts w:eastAsia="Carlito"/>
        </w:rPr>
        <w:t xml:space="preserve">Os honorários advocatícios de sucumbência das causas em que </w:t>
      </w:r>
      <w:r w:rsidR="00111CCC" w:rsidRPr="00D2203A">
        <w:rPr>
          <w:rFonts w:eastAsia="Carlito"/>
        </w:rPr>
        <w:t xml:space="preserve">o CAU/DF </w:t>
      </w:r>
      <w:r w:rsidRPr="00D2203A">
        <w:rPr>
          <w:rFonts w:eastAsia="Carlito"/>
        </w:rPr>
        <w:t xml:space="preserve">for parte pertencem originariamente aos ocupantes do cargo de </w:t>
      </w:r>
      <w:r w:rsidR="001E2973" w:rsidRPr="00D2203A">
        <w:rPr>
          <w:rFonts w:eastAsia="Carlito"/>
        </w:rPr>
        <w:t>Advogado</w:t>
      </w:r>
      <w:r w:rsidRPr="00D2203A">
        <w:rPr>
          <w:rFonts w:eastAsia="Carlito"/>
        </w:rPr>
        <w:t xml:space="preserve">. </w:t>
      </w:r>
    </w:p>
    <w:p w14:paraId="66422FE7" w14:textId="556B915E" w:rsidR="005130BA" w:rsidRPr="00D2203A" w:rsidRDefault="005130BA" w:rsidP="005130BA">
      <w:pPr>
        <w:pStyle w:val="PargrafodaLista"/>
        <w:tabs>
          <w:tab w:val="left" w:pos="567"/>
          <w:tab w:val="left" w:pos="851"/>
          <w:tab w:val="left" w:pos="1134"/>
          <w:tab w:val="left" w:pos="1701"/>
        </w:tabs>
        <w:spacing w:after="0"/>
        <w:ind w:left="0"/>
        <w:rPr>
          <w:rFonts w:eastAsia="Carlito"/>
        </w:rPr>
      </w:pPr>
    </w:p>
    <w:p w14:paraId="119C6249" w14:textId="2E230168" w:rsidR="005130BA" w:rsidRPr="00D2203A" w:rsidRDefault="005130BA" w:rsidP="005130BA">
      <w:pPr>
        <w:pStyle w:val="PargrafodaLista"/>
        <w:tabs>
          <w:tab w:val="left" w:pos="567"/>
          <w:tab w:val="left" w:pos="851"/>
          <w:tab w:val="left" w:pos="1134"/>
          <w:tab w:val="left" w:pos="1701"/>
        </w:tabs>
        <w:spacing w:after="0"/>
        <w:ind w:left="0"/>
        <w:rPr>
          <w:rFonts w:eastAsia="Carlito"/>
        </w:rPr>
      </w:pPr>
      <w:r w:rsidRPr="00D2203A">
        <w:rPr>
          <w:rFonts w:eastAsia="Carlito"/>
        </w:rPr>
        <w:t>Parágrafo único. Os honorários não integram o subsídio e não servirão como base de cálculo para adicional, gratificação ou qualquer outra vantagem pecuniária.</w:t>
      </w:r>
    </w:p>
    <w:p w14:paraId="0FF9B71E" w14:textId="77777777" w:rsidR="005130BA" w:rsidRPr="00D2203A" w:rsidRDefault="005130BA" w:rsidP="005130BA">
      <w:pPr>
        <w:pStyle w:val="PargrafodaLista"/>
        <w:tabs>
          <w:tab w:val="left" w:pos="567"/>
          <w:tab w:val="left" w:pos="851"/>
          <w:tab w:val="left" w:pos="1134"/>
          <w:tab w:val="left" w:pos="1701"/>
        </w:tabs>
        <w:spacing w:after="0"/>
        <w:ind w:left="0"/>
        <w:rPr>
          <w:rFonts w:eastAsia="Carlito"/>
        </w:rPr>
      </w:pPr>
    </w:p>
    <w:p w14:paraId="6BC6C848" w14:textId="2E484ED3" w:rsidR="005130BA" w:rsidRPr="00D2203A" w:rsidRDefault="00736384" w:rsidP="00895CA0">
      <w:pPr>
        <w:pStyle w:val="PargrafodaLista"/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701"/>
        </w:tabs>
        <w:spacing w:after="0"/>
        <w:ind w:left="0" w:firstLine="0"/>
        <w:rPr>
          <w:rFonts w:eastAsia="Carlito"/>
        </w:rPr>
      </w:pPr>
      <w:r w:rsidRPr="00D2203A">
        <w:rPr>
          <w:rFonts w:eastAsia="Carlito"/>
        </w:rPr>
        <w:t>Os honorários advocatícios de sucumbência incluem</w:t>
      </w:r>
      <w:r w:rsidR="00895CA0" w:rsidRPr="00D2203A">
        <w:rPr>
          <w:rFonts w:eastAsia="Carlito"/>
        </w:rPr>
        <w:t xml:space="preserve"> </w:t>
      </w:r>
      <w:r w:rsidR="005130BA" w:rsidRPr="00D2203A">
        <w:rPr>
          <w:rFonts w:eastAsia="Carlito"/>
        </w:rPr>
        <w:t xml:space="preserve">o total do produto dos honorários de sucumbência recebidos nas ações judiciais em que </w:t>
      </w:r>
      <w:r w:rsidR="00FE71A3" w:rsidRPr="00D2203A">
        <w:rPr>
          <w:rFonts w:eastAsia="Carlito"/>
        </w:rPr>
        <w:t xml:space="preserve">o CAU/DF </w:t>
      </w:r>
      <w:r w:rsidR="005130BA" w:rsidRPr="00D2203A">
        <w:rPr>
          <w:rFonts w:eastAsia="Carlito"/>
        </w:rPr>
        <w:t>for parte</w:t>
      </w:r>
      <w:r w:rsidR="00895CA0" w:rsidRPr="00D2203A">
        <w:rPr>
          <w:rFonts w:eastAsia="Carlito"/>
        </w:rPr>
        <w:t>.</w:t>
      </w:r>
    </w:p>
    <w:p w14:paraId="64298EBC" w14:textId="77777777" w:rsidR="005130BA" w:rsidRPr="00D2203A" w:rsidRDefault="005130BA" w:rsidP="005130BA">
      <w:pPr>
        <w:pStyle w:val="PargrafodaLista"/>
        <w:tabs>
          <w:tab w:val="left" w:pos="567"/>
          <w:tab w:val="left" w:pos="851"/>
          <w:tab w:val="left" w:pos="1134"/>
          <w:tab w:val="left" w:pos="1701"/>
        </w:tabs>
        <w:spacing w:after="0"/>
        <w:ind w:left="0"/>
        <w:rPr>
          <w:rFonts w:eastAsia="Carlito"/>
        </w:rPr>
      </w:pPr>
    </w:p>
    <w:p w14:paraId="2955AA60" w14:textId="146BCC40" w:rsidR="005130BA" w:rsidRPr="00D2203A" w:rsidRDefault="005130BA" w:rsidP="005130BA">
      <w:pPr>
        <w:pStyle w:val="PargrafodaLista"/>
        <w:tabs>
          <w:tab w:val="left" w:pos="567"/>
          <w:tab w:val="left" w:pos="851"/>
          <w:tab w:val="left" w:pos="1134"/>
          <w:tab w:val="left" w:pos="1701"/>
        </w:tabs>
        <w:spacing w:after="0"/>
        <w:ind w:left="0"/>
        <w:rPr>
          <w:rFonts w:eastAsia="Carlito"/>
        </w:rPr>
      </w:pPr>
      <w:r w:rsidRPr="00D2203A">
        <w:rPr>
          <w:rFonts w:eastAsia="Carlito"/>
        </w:rPr>
        <w:t>Parágrafo único. O recolhimento dos valores</w:t>
      </w:r>
      <w:r w:rsidR="00047E0F" w:rsidRPr="00D2203A">
        <w:rPr>
          <w:rFonts w:eastAsia="Carlito"/>
        </w:rPr>
        <w:t xml:space="preserve"> referentes aos honorários de sucumbência</w:t>
      </w:r>
      <w:r w:rsidRPr="00D2203A">
        <w:rPr>
          <w:rFonts w:eastAsia="Carlito"/>
        </w:rPr>
        <w:t xml:space="preserve"> será realizado por meio </w:t>
      </w:r>
      <w:r w:rsidR="00047E0F" w:rsidRPr="00D2203A">
        <w:rPr>
          <w:rFonts w:eastAsia="Carlito"/>
        </w:rPr>
        <w:t xml:space="preserve">de </w:t>
      </w:r>
      <w:r w:rsidRPr="00D2203A">
        <w:rPr>
          <w:rFonts w:eastAsia="Carlito"/>
        </w:rPr>
        <w:t>de</w:t>
      </w:r>
      <w:r w:rsidR="00047E0F" w:rsidRPr="00D2203A">
        <w:rPr>
          <w:rFonts w:eastAsia="Carlito"/>
        </w:rPr>
        <w:t>pósito em conta específica do CAU/DF</w:t>
      </w:r>
      <w:r w:rsidR="007F1AAF" w:rsidRPr="00D2203A">
        <w:rPr>
          <w:rFonts w:eastAsia="Carlito"/>
        </w:rPr>
        <w:t>, ou na forma estabelecida em juízo.</w:t>
      </w:r>
    </w:p>
    <w:p w14:paraId="2BF7F323" w14:textId="77777777" w:rsidR="00F33DD6" w:rsidRPr="00D2203A" w:rsidRDefault="00F33DD6" w:rsidP="002E47AB">
      <w:pPr>
        <w:pStyle w:val="PargrafodaLista"/>
        <w:tabs>
          <w:tab w:val="left" w:pos="567"/>
          <w:tab w:val="left" w:pos="851"/>
          <w:tab w:val="left" w:pos="1134"/>
          <w:tab w:val="left" w:pos="1701"/>
        </w:tabs>
        <w:spacing w:after="0"/>
        <w:ind w:left="0"/>
        <w:rPr>
          <w:rFonts w:eastAsia="Carlito"/>
        </w:rPr>
      </w:pPr>
    </w:p>
    <w:p w14:paraId="1CE7EF71" w14:textId="1D26F96D" w:rsidR="00736384" w:rsidRPr="00D2203A" w:rsidRDefault="00736384" w:rsidP="00736384">
      <w:pPr>
        <w:pStyle w:val="PargrafodaLista"/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701"/>
        </w:tabs>
        <w:spacing w:after="0"/>
        <w:ind w:left="0" w:firstLine="0"/>
        <w:rPr>
          <w:rFonts w:eastAsia="Carlito"/>
        </w:rPr>
      </w:pPr>
      <w:r w:rsidRPr="00D2203A">
        <w:rPr>
          <w:rFonts w:eastAsia="Carlito"/>
        </w:rPr>
        <w:t>Os honorários não</w:t>
      </w:r>
      <w:r w:rsidR="0063664A" w:rsidRPr="00D2203A">
        <w:rPr>
          <w:rFonts w:eastAsia="Carlito"/>
        </w:rPr>
        <w:t xml:space="preserve"> </w:t>
      </w:r>
      <w:r w:rsidR="00047E0F" w:rsidRPr="00D2203A">
        <w:rPr>
          <w:rFonts w:eastAsia="Carlito"/>
        </w:rPr>
        <w:t xml:space="preserve">integram </w:t>
      </w:r>
      <w:r w:rsidRPr="00D2203A">
        <w:rPr>
          <w:rFonts w:eastAsia="Carlito"/>
        </w:rPr>
        <w:t>a base de cálculo, compulsória ou facultativa, da contribuição previdenciária.</w:t>
      </w:r>
    </w:p>
    <w:p w14:paraId="4DB0E343" w14:textId="77777777" w:rsidR="00DC38BE" w:rsidRPr="00D2203A" w:rsidRDefault="00DC38BE" w:rsidP="00DC38BE">
      <w:pPr>
        <w:pStyle w:val="PargrafodaLista"/>
        <w:tabs>
          <w:tab w:val="left" w:pos="567"/>
          <w:tab w:val="left" w:pos="851"/>
          <w:tab w:val="left" w:pos="1134"/>
          <w:tab w:val="left" w:pos="1701"/>
        </w:tabs>
        <w:spacing w:after="0"/>
        <w:ind w:left="0"/>
        <w:rPr>
          <w:rFonts w:eastAsia="Carlito"/>
        </w:rPr>
      </w:pPr>
    </w:p>
    <w:p w14:paraId="12F2F019" w14:textId="350232D8" w:rsidR="00F548CE" w:rsidRPr="00D2203A" w:rsidRDefault="000A259A" w:rsidP="00F548CE">
      <w:pPr>
        <w:pStyle w:val="PargrafodaLista"/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701"/>
        </w:tabs>
        <w:spacing w:after="0"/>
        <w:ind w:left="0" w:firstLine="0"/>
        <w:rPr>
          <w:rFonts w:eastAsia="Carlito"/>
        </w:rPr>
      </w:pPr>
      <w:r w:rsidRPr="00D2203A">
        <w:rPr>
          <w:rFonts w:eastAsia="Carlito"/>
        </w:rPr>
        <w:t>A Gerência Financeira do CAU/DF</w:t>
      </w:r>
      <w:r w:rsidR="00736384" w:rsidRPr="00D2203A">
        <w:rPr>
          <w:rFonts w:eastAsia="Carlito"/>
        </w:rPr>
        <w:t xml:space="preserve"> adotar</w:t>
      </w:r>
      <w:r w:rsidRPr="00D2203A">
        <w:rPr>
          <w:rFonts w:eastAsia="Carlito"/>
        </w:rPr>
        <w:t xml:space="preserve">á </w:t>
      </w:r>
      <w:r w:rsidR="00736384" w:rsidRPr="00D2203A">
        <w:rPr>
          <w:rFonts w:eastAsia="Carlito"/>
        </w:rPr>
        <w:t xml:space="preserve">as providências necessárias para </w:t>
      </w:r>
      <w:r w:rsidR="00047E0F" w:rsidRPr="00D2203A">
        <w:rPr>
          <w:rFonts w:eastAsia="Carlito"/>
        </w:rPr>
        <w:t xml:space="preserve">repassar </w:t>
      </w:r>
      <w:r w:rsidR="00736384" w:rsidRPr="00D2203A">
        <w:rPr>
          <w:rFonts w:eastAsia="Carlito"/>
        </w:rPr>
        <w:t>o crédito dos valores</w:t>
      </w:r>
      <w:r w:rsidR="0063664A" w:rsidRPr="00D2203A">
        <w:rPr>
          <w:rFonts w:eastAsia="Carlito"/>
        </w:rPr>
        <w:t xml:space="preserve"> referentes a honorários sucumbenciais</w:t>
      </w:r>
      <w:r w:rsidR="00736384" w:rsidRPr="00D2203A">
        <w:rPr>
          <w:rFonts w:eastAsia="Carlito"/>
        </w:rPr>
        <w:t xml:space="preserve"> na </w:t>
      </w:r>
      <w:r w:rsidR="0063664A" w:rsidRPr="00D2203A">
        <w:rPr>
          <w:rFonts w:eastAsia="Carlito"/>
        </w:rPr>
        <w:t xml:space="preserve">conta </w:t>
      </w:r>
      <w:r w:rsidR="00F548CE" w:rsidRPr="00D2203A">
        <w:rPr>
          <w:rFonts w:eastAsia="Carlito"/>
        </w:rPr>
        <w:t>indicada pelo Advogado do Conselho.</w:t>
      </w:r>
    </w:p>
    <w:p w14:paraId="1682A16C" w14:textId="77777777" w:rsidR="00F548CE" w:rsidRPr="00D2203A" w:rsidRDefault="00F548CE" w:rsidP="007F1AAF">
      <w:pPr>
        <w:pStyle w:val="PargrafodaLista"/>
        <w:tabs>
          <w:tab w:val="left" w:pos="567"/>
          <w:tab w:val="left" w:pos="851"/>
          <w:tab w:val="left" w:pos="1134"/>
          <w:tab w:val="left" w:pos="1701"/>
        </w:tabs>
        <w:spacing w:after="0"/>
        <w:ind w:left="0"/>
        <w:rPr>
          <w:rFonts w:eastAsia="Carlito"/>
        </w:rPr>
      </w:pPr>
    </w:p>
    <w:p w14:paraId="757024AA" w14:textId="7108D72B" w:rsidR="00736384" w:rsidRPr="00D2203A" w:rsidRDefault="00F548CE" w:rsidP="007F1AAF">
      <w:pPr>
        <w:pStyle w:val="PargrafodaLista"/>
        <w:numPr>
          <w:ilvl w:val="0"/>
          <w:numId w:val="13"/>
        </w:numPr>
        <w:tabs>
          <w:tab w:val="left" w:pos="567"/>
          <w:tab w:val="left" w:pos="851"/>
          <w:tab w:val="left" w:pos="1134"/>
          <w:tab w:val="left" w:pos="1701"/>
        </w:tabs>
        <w:spacing w:after="0"/>
        <w:ind w:left="0" w:firstLine="0"/>
        <w:rPr>
          <w:rFonts w:eastAsia="Carlito"/>
        </w:rPr>
      </w:pPr>
      <w:r w:rsidRPr="00D2203A">
        <w:rPr>
          <w:rFonts w:eastAsia="Carlito"/>
        </w:rPr>
        <w:t xml:space="preserve">Para cumprimento do disposto </w:t>
      </w:r>
      <w:r w:rsidR="00EF0AE9" w:rsidRPr="00D2203A">
        <w:rPr>
          <w:rFonts w:eastAsia="Carlito"/>
        </w:rPr>
        <w:t>neste artigo</w:t>
      </w:r>
      <w:r w:rsidRPr="00D2203A">
        <w:rPr>
          <w:rFonts w:eastAsia="Carlito"/>
        </w:rPr>
        <w:t>, o total do produto dos honorários advocatícios</w:t>
      </w:r>
      <w:r w:rsidR="0063664A" w:rsidRPr="00D2203A">
        <w:rPr>
          <w:rFonts w:eastAsia="Carlito"/>
        </w:rPr>
        <w:t xml:space="preserve"> sucumbenciais</w:t>
      </w:r>
      <w:r w:rsidRPr="00D2203A">
        <w:rPr>
          <w:rFonts w:eastAsia="Carlito"/>
        </w:rPr>
        <w:t xml:space="preserve"> será objeto de apuração e consolidação mensal e será creditado, pela </w:t>
      </w:r>
      <w:r w:rsidR="00EF0AE9" w:rsidRPr="00D2203A">
        <w:rPr>
          <w:rFonts w:eastAsia="Carlito"/>
        </w:rPr>
        <w:t>A</w:t>
      </w:r>
      <w:r w:rsidRPr="00D2203A">
        <w:rPr>
          <w:rFonts w:eastAsia="Carlito"/>
        </w:rPr>
        <w:t>dministração, até o décimo quinto dia do mês subsequente.</w:t>
      </w:r>
    </w:p>
    <w:p w14:paraId="7944ED0C" w14:textId="3D284627" w:rsidR="00F73D6C" w:rsidRPr="00D2203A" w:rsidRDefault="00310C31" w:rsidP="00FB2C76">
      <w:pPr>
        <w:pStyle w:val="PargrafodaLista"/>
        <w:numPr>
          <w:ilvl w:val="0"/>
          <w:numId w:val="13"/>
        </w:numPr>
        <w:tabs>
          <w:tab w:val="left" w:pos="567"/>
          <w:tab w:val="left" w:pos="851"/>
          <w:tab w:val="left" w:pos="1134"/>
          <w:tab w:val="left" w:pos="1701"/>
        </w:tabs>
        <w:spacing w:after="0"/>
        <w:ind w:left="0" w:firstLine="0"/>
        <w:rPr>
          <w:rFonts w:eastAsia="Carlito"/>
        </w:rPr>
      </w:pPr>
      <w:r w:rsidRPr="00310C31">
        <w:lastRenderedPageBreak/>
        <w:t>Os valores correspondentes ao imposto sobre a renda devido em razão do recebimento</w:t>
      </w:r>
      <w:r w:rsidRPr="00310C31">
        <w:cr/>
        <w:t>de honorários sucumbenciais serão de responsabilidade de cada um dos advogados</w:t>
      </w:r>
      <w:r w:rsidR="00F73D6C" w:rsidRPr="00D2203A">
        <w:t>.</w:t>
      </w:r>
    </w:p>
    <w:p w14:paraId="0370E925" w14:textId="77777777" w:rsidR="00FB2C76" w:rsidRPr="00D2203A" w:rsidRDefault="00FB2C76" w:rsidP="00FB2C76">
      <w:pPr>
        <w:pStyle w:val="PargrafodaLista"/>
        <w:tabs>
          <w:tab w:val="left" w:pos="567"/>
          <w:tab w:val="left" w:pos="851"/>
          <w:tab w:val="left" w:pos="1134"/>
          <w:tab w:val="left" w:pos="1701"/>
        </w:tabs>
        <w:spacing w:after="0"/>
        <w:ind w:left="0"/>
        <w:rPr>
          <w:rFonts w:eastAsia="Carlito"/>
        </w:rPr>
      </w:pPr>
    </w:p>
    <w:p w14:paraId="5FC3AAFD" w14:textId="1DACF142" w:rsidR="0079395F" w:rsidRPr="00D2203A" w:rsidRDefault="00F73D6C" w:rsidP="00FB2C76">
      <w:pPr>
        <w:pStyle w:val="PargrafodaLista"/>
        <w:numPr>
          <w:ilvl w:val="0"/>
          <w:numId w:val="13"/>
        </w:numPr>
        <w:tabs>
          <w:tab w:val="left" w:pos="567"/>
          <w:tab w:val="left" w:pos="851"/>
          <w:tab w:val="left" w:pos="1134"/>
          <w:tab w:val="left" w:pos="1701"/>
        </w:tabs>
        <w:spacing w:after="0"/>
        <w:ind w:left="0" w:firstLine="0"/>
        <w:rPr>
          <w:rFonts w:eastAsia="Carlito"/>
        </w:rPr>
      </w:pPr>
      <w:r w:rsidRPr="00D2203A">
        <w:t xml:space="preserve">Os valores percebidos como honorários advocatícios sucumbenciais pelos Advogados Públicos efetivos, nos termos desta </w:t>
      </w:r>
      <w:r w:rsidR="00F850BE" w:rsidRPr="00D2203A">
        <w:t>Portaria Normativa</w:t>
      </w:r>
      <w:r w:rsidRPr="00D2203A">
        <w:t>, não se incorporam ao seu padrão de vencimento, para qualquer efeito, não gerando, portanto, direito futuro.</w:t>
      </w:r>
    </w:p>
    <w:p w14:paraId="45B6CD6D" w14:textId="77777777" w:rsidR="00F73D6C" w:rsidRPr="00D2203A" w:rsidRDefault="00F73D6C" w:rsidP="00F73D6C">
      <w:pPr>
        <w:pStyle w:val="PargrafodaLista"/>
        <w:tabs>
          <w:tab w:val="left" w:pos="567"/>
          <w:tab w:val="left" w:pos="851"/>
          <w:tab w:val="left" w:pos="1134"/>
          <w:tab w:val="left" w:pos="1701"/>
        </w:tabs>
        <w:spacing w:after="0"/>
        <w:ind w:left="0"/>
      </w:pPr>
    </w:p>
    <w:p w14:paraId="4C44A1C4" w14:textId="0DD5D695" w:rsidR="00E37016" w:rsidRPr="00D2203A" w:rsidRDefault="00E37016" w:rsidP="003B421A">
      <w:pPr>
        <w:pStyle w:val="PargrafodaLista"/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701"/>
        </w:tabs>
        <w:spacing w:after="0"/>
        <w:ind w:left="0" w:firstLine="0"/>
      </w:pPr>
      <w:r w:rsidRPr="00D2203A">
        <w:t xml:space="preserve">Os </w:t>
      </w:r>
      <w:r w:rsidR="002F3E09" w:rsidRPr="00D2203A">
        <w:t>valores percebidos como honorários advocatícios sucumbenciais</w:t>
      </w:r>
      <w:r w:rsidR="0089603D" w:rsidRPr="00D2203A">
        <w:t xml:space="preserve"> </w:t>
      </w:r>
      <w:r w:rsidRPr="00D2203A">
        <w:t xml:space="preserve">serão distribuídos na sua totalidade entre os ocupantes do cargo de provimento efetivo de Advogado Público do </w:t>
      </w:r>
      <w:r w:rsidR="004633E7" w:rsidRPr="00D2203A">
        <w:t>CAU/DF</w:t>
      </w:r>
      <w:r w:rsidRPr="00D2203A">
        <w:t xml:space="preserve">, mediante apuração das cotas individuais através da divisão do saldo existente na conta </w:t>
      </w:r>
      <w:r w:rsidR="00F044F9" w:rsidRPr="00D2203A">
        <w:t>da Administração</w:t>
      </w:r>
      <w:r w:rsidR="00410A2B" w:rsidRPr="00D2203A">
        <w:t>.</w:t>
      </w:r>
    </w:p>
    <w:p w14:paraId="3DF1F146" w14:textId="77777777" w:rsidR="005822D2" w:rsidRPr="00D2203A" w:rsidRDefault="005822D2" w:rsidP="005822D2">
      <w:pPr>
        <w:pStyle w:val="PargrafodaLista"/>
        <w:tabs>
          <w:tab w:val="left" w:pos="567"/>
          <w:tab w:val="left" w:pos="851"/>
          <w:tab w:val="left" w:pos="1134"/>
          <w:tab w:val="left" w:pos="1701"/>
        </w:tabs>
        <w:spacing w:after="0"/>
        <w:ind w:left="0"/>
      </w:pPr>
    </w:p>
    <w:p w14:paraId="7C22001B" w14:textId="30652BA8" w:rsidR="005E536F" w:rsidRPr="00D2203A" w:rsidRDefault="00E37016" w:rsidP="005E536F">
      <w:pPr>
        <w:pStyle w:val="PargrafodaLista"/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701"/>
        </w:tabs>
        <w:spacing w:after="0"/>
        <w:ind w:left="0" w:firstLine="0"/>
      </w:pPr>
      <w:r w:rsidRPr="00D2203A">
        <w:t xml:space="preserve">Nas ações judiciais de qualquer natureza, de competência </w:t>
      </w:r>
      <w:r w:rsidR="00F83D33" w:rsidRPr="00D2203A">
        <w:t>do CAU/DF</w:t>
      </w:r>
      <w:r w:rsidRPr="00D2203A">
        <w:t>, os honorários advocatícios</w:t>
      </w:r>
      <w:r w:rsidR="00FB2C76" w:rsidRPr="00D2203A">
        <w:t xml:space="preserve"> fixados </w:t>
      </w:r>
      <w:r w:rsidRPr="00D2203A">
        <w:t>por arbitramento</w:t>
      </w:r>
      <w:r w:rsidR="002E5EDD">
        <w:t xml:space="preserve"> </w:t>
      </w:r>
      <w:r w:rsidRPr="00D2203A">
        <w:t xml:space="preserve">serão </w:t>
      </w:r>
      <w:r w:rsidR="007C10A7" w:rsidRPr="00D2203A">
        <w:t>disponibilizados</w:t>
      </w:r>
      <w:r w:rsidRPr="00D2203A">
        <w:t xml:space="preserve"> para rateio na forma desta </w:t>
      </w:r>
      <w:r w:rsidR="007C10A7" w:rsidRPr="00D2203A">
        <w:t>Portaria Normativa</w:t>
      </w:r>
      <w:r w:rsidR="0063664A" w:rsidRPr="00D2203A">
        <w:t>, quando for o caso</w:t>
      </w:r>
      <w:r w:rsidRPr="00D2203A">
        <w:t>.</w:t>
      </w:r>
    </w:p>
    <w:p w14:paraId="38818515" w14:textId="77777777" w:rsidR="00B8633C" w:rsidRPr="00D2203A" w:rsidRDefault="00B8633C" w:rsidP="00B8633C">
      <w:pPr>
        <w:pStyle w:val="PargrafodaLista"/>
        <w:ind w:left="0"/>
      </w:pPr>
    </w:p>
    <w:p w14:paraId="20355401" w14:textId="5CB46A27" w:rsidR="00B8633C" w:rsidRPr="00D2203A" w:rsidRDefault="005E536F" w:rsidP="00390372">
      <w:pPr>
        <w:pStyle w:val="PargrafodaLista"/>
        <w:numPr>
          <w:ilvl w:val="0"/>
          <w:numId w:val="5"/>
        </w:numPr>
        <w:ind w:left="0" w:firstLine="0"/>
      </w:pPr>
      <w:r w:rsidRPr="00D2203A">
        <w:t xml:space="preserve">Os honorários previstos no caput deste artigo são verbas de natureza privada, não fazem parte do orçamento público, não constituem encargos ao </w:t>
      </w:r>
      <w:r w:rsidR="00B8633C" w:rsidRPr="00D2203A">
        <w:t>CAU/DF</w:t>
      </w:r>
      <w:r w:rsidRPr="00D2203A">
        <w:t>, sendo pagos exclusivamente pela parte sucumbente ou devedora.</w:t>
      </w:r>
    </w:p>
    <w:p w14:paraId="10594AA3" w14:textId="77777777" w:rsidR="00B8633C" w:rsidRPr="00D2203A" w:rsidRDefault="00B8633C" w:rsidP="00B8633C">
      <w:pPr>
        <w:pStyle w:val="PargrafodaLista"/>
        <w:ind w:left="0"/>
      </w:pPr>
    </w:p>
    <w:p w14:paraId="55257FEA" w14:textId="1B434DA2" w:rsidR="005E536F" w:rsidRPr="00D2203A" w:rsidRDefault="005E536F" w:rsidP="00390372">
      <w:pPr>
        <w:pStyle w:val="PargrafodaLista"/>
        <w:numPr>
          <w:ilvl w:val="0"/>
          <w:numId w:val="5"/>
        </w:numPr>
        <w:ind w:left="0" w:firstLine="0"/>
      </w:pPr>
      <w:r w:rsidRPr="00D2203A">
        <w:t>Os honorários não integram o subsídio e não servirão como base de cálculo para adicional,</w:t>
      </w:r>
      <w:r w:rsidR="00FB2C76" w:rsidRPr="00D2203A">
        <w:t xml:space="preserve"> gratificação </w:t>
      </w:r>
      <w:r w:rsidRPr="00D2203A">
        <w:t>ou qualquer outra vantagem pecuniária.</w:t>
      </w:r>
    </w:p>
    <w:p w14:paraId="050E55D4" w14:textId="77777777" w:rsidR="00346B1C" w:rsidRPr="00D2203A" w:rsidRDefault="00346B1C" w:rsidP="00346B1C">
      <w:pPr>
        <w:pStyle w:val="PargrafodaLista"/>
        <w:ind w:left="0"/>
      </w:pPr>
    </w:p>
    <w:p w14:paraId="72CE3724" w14:textId="174D805A" w:rsidR="00E37016" w:rsidRPr="00D2203A" w:rsidRDefault="00E37016" w:rsidP="003B421A">
      <w:pPr>
        <w:pStyle w:val="PargrafodaLista"/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701"/>
        </w:tabs>
        <w:spacing w:after="0"/>
        <w:ind w:left="0" w:firstLine="0"/>
      </w:pPr>
      <w:r w:rsidRPr="00D2203A">
        <w:t xml:space="preserve">Os valores de honorários de sucumbência de que trata </w:t>
      </w:r>
      <w:r w:rsidR="001A47FD" w:rsidRPr="00D2203A">
        <w:t>este normativo</w:t>
      </w:r>
      <w:r w:rsidRPr="00D2203A">
        <w:t xml:space="preserve">, serão </w:t>
      </w:r>
      <w:r w:rsidR="001A47FD" w:rsidRPr="00D2203A">
        <w:t>divididos</w:t>
      </w:r>
      <w:r w:rsidRPr="00D2203A">
        <w:t xml:space="preserve"> em cotas-partes iguais pelos Advogados Públicos efetivos a partir da data de ingresso ao serviço público.</w:t>
      </w:r>
    </w:p>
    <w:p w14:paraId="1341BFC2" w14:textId="5C663EC1" w:rsidR="009F4476" w:rsidRPr="00D2203A" w:rsidRDefault="009F4476" w:rsidP="009F4476">
      <w:pPr>
        <w:pStyle w:val="PargrafodaLista"/>
        <w:tabs>
          <w:tab w:val="left" w:pos="567"/>
          <w:tab w:val="left" w:pos="851"/>
          <w:tab w:val="left" w:pos="1134"/>
          <w:tab w:val="left" w:pos="1701"/>
        </w:tabs>
        <w:spacing w:after="0"/>
        <w:ind w:left="0"/>
      </w:pPr>
    </w:p>
    <w:p w14:paraId="0019C81E" w14:textId="73244B78" w:rsidR="009F4476" w:rsidRPr="00D2203A" w:rsidRDefault="0063664A" w:rsidP="009F4476">
      <w:pPr>
        <w:pStyle w:val="Corpodetexto"/>
        <w:tabs>
          <w:tab w:val="left" w:pos="567"/>
          <w:tab w:val="left" w:pos="851"/>
          <w:tab w:val="left" w:pos="1134"/>
        </w:tabs>
        <w:spacing w:after="0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 w:rsidRPr="00D2203A">
        <w:rPr>
          <w:rFonts w:ascii="Calibri" w:hAnsi="Calibri" w:cs="Calibri"/>
          <w:sz w:val="24"/>
          <w:szCs w:val="24"/>
        </w:rPr>
        <w:t xml:space="preserve">Parágrafo único. O </w:t>
      </w:r>
      <w:r w:rsidR="00A20174" w:rsidRPr="00D2203A">
        <w:rPr>
          <w:rFonts w:ascii="Calibri" w:hAnsi="Calibri" w:cs="Calibri"/>
          <w:sz w:val="24"/>
          <w:szCs w:val="24"/>
        </w:rPr>
        <w:t xml:space="preserve">Assessor Jurídico </w:t>
      </w:r>
      <w:r w:rsidRPr="00D2203A">
        <w:rPr>
          <w:rFonts w:ascii="Calibri" w:hAnsi="Calibri" w:cs="Calibri"/>
          <w:sz w:val="24"/>
          <w:szCs w:val="24"/>
        </w:rPr>
        <w:t xml:space="preserve">ocupante de </w:t>
      </w:r>
      <w:r w:rsidR="009F4476" w:rsidRPr="00D2203A">
        <w:rPr>
          <w:rFonts w:ascii="Calibri" w:hAnsi="Calibri" w:cs="Calibri"/>
          <w:sz w:val="24"/>
          <w:szCs w:val="24"/>
        </w:rPr>
        <w:t>Cargo em Comissão</w:t>
      </w:r>
      <w:r w:rsidR="00A20174" w:rsidRPr="00D2203A">
        <w:rPr>
          <w:rFonts w:ascii="Calibri" w:hAnsi="Calibri" w:cs="Calibri"/>
          <w:sz w:val="24"/>
          <w:szCs w:val="24"/>
        </w:rPr>
        <w:t xml:space="preserve"> vinculado a Assessoria Jurídica</w:t>
      </w:r>
      <w:r w:rsidR="009F4476" w:rsidRPr="00D2203A">
        <w:rPr>
          <w:rFonts w:ascii="Calibri" w:hAnsi="Calibri" w:cs="Calibri"/>
          <w:sz w:val="24"/>
          <w:szCs w:val="24"/>
        </w:rPr>
        <w:t>, passará a fazer jus a uma cota-parte no rateio dos honorários advocatícios de que trata esta</w:t>
      </w:r>
      <w:r w:rsidR="00A20174" w:rsidRPr="00D2203A">
        <w:rPr>
          <w:rFonts w:ascii="Calibri" w:hAnsi="Calibri" w:cs="Calibri"/>
          <w:sz w:val="24"/>
          <w:szCs w:val="24"/>
        </w:rPr>
        <w:t xml:space="preserve"> Portaria</w:t>
      </w:r>
      <w:r w:rsidR="009F4476" w:rsidRPr="00D2203A">
        <w:rPr>
          <w:rFonts w:ascii="Calibri" w:hAnsi="Calibri" w:cs="Calibri"/>
          <w:sz w:val="24"/>
          <w:szCs w:val="24"/>
        </w:rPr>
        <w:t xml:space="preserve"> 180 (cento e oitenta) dias após sua nomeação.</w:t>
      </w:r>
    </w:p>
    <w:p w14:paraId="457D659A" w14:textId="77777777" w:rsidR="006D541F" w:rsidRPr="00D2203A" w:rsidRDefault="006D541F" w:rsidP="006D541F">
      <w:pPr>
        <w:pStyle w:val="PargrafodaLista"/>
        <w:tabs>
          <w:tab w:val="left" w:pos="567"/>
          <w:tab w:val="left" w:pos="851"/>
          <w:tab w:val="left" w:pos="1134"/>
          <w:tab w:val="left" w:pos="1701"/>
        </w:tabs>
        <w:spacing w:after="0"/>
        <w:ind w:left="0"/>
      </w:pPr>
    </w:p>
    <w:p w14:paraId="0B7B6631" w14:textId="66F6F9E6" w:rsidR="00B60DD1" w:rsidRPr="00D2203A" w:rsidRDefault="00E37016" w:rsidP="00B60DD1">
      <w:pPr>
        <w:pStyle w:val="PargrafodaLista"/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701"/>
        </w:tabs>
        <w:spacing w:after="0"/>
        <w:ind w:left="0" w:firstLine="0"/>
      </w:pPr>
      <w:r w:rsidRPr="00D2203A">
        <w:t>Os valores relativos aos honorários advocatícios</w:t>
      </w:r>
      <w:r w:rsidR="00A20174" w:rsidRPr="00D2203A">
        <w:t xml:space="preserve"> de sucumbência</w:t>
      </w:r>
      <w:r w:rsidRPr="00D2203A">
        <w:t xml:space="preserve"> levantados pelo Advogado Público do </w:t>
      </w:r>
      <w:r w:rsidR="00B00FBF" w:rsidRPr="00D2203A">
        <w:t>CAU/DF</w:t>
      </w:r>
      <w:r w:rsidRPr="00D2203A">
        <w:t xml:space="preserve"> atuante no processo </w:t>
      </w:r>
      <w:r w:rsidR="00A20174" w:rsidRPr="00D2203A">
        <w:t>deverão ser</w:t>
      </w:r>
      <w:r w:rsidRPr="00D2203A">
        <w:t xml:space="preserve"> transferidos automática e imediatamente para a conta bancária </w:t>
      </w:r>
      <w:r w:rsidR="00A20174" w:rsidRPr="00D2203A">
        <w:t>específica do CAU/DF, sempre que existir mais de um advogado que tenha direito ao rateio.</w:t>
      </w:r>
    </w:p>
    <w:p w14:paraId="77632E5C" w14:textId="32F67536" w:rsidR="00B60DD1" w:rsidRPr="00D2203A" w:rsidRDefault="00B60DD1" w:rsidP="00B60DD1">
      <w:pPr>
        <w:pStyle w:val="PargrafodaLista"/>
        <w:tabs>
          <w:tab w:val="left" w:pos="567"/>
          <w:tab w:val="left" w:pos="851"/>
          <w:tab w:val="left" w:pos="1134"/>
          <w:tab w:val="left" w:pos="1701"/>
        </w:tabs>
        <w:spacing w:after="0"/>
        <w:ind w:left="0"/>
      </w:pPr>
    </w:p>
    <w:p w14:paraId="270721B1" w14:textId="51E5B247" w:rsidR="00FF6872" w:rsidRPr="00D2203A" w:rsidRDefault="00C9135B" w:rsidP="00224AF0">
      <w:pPr>
        <w:pStyle w:val="PargrafodaLista"/>
        <w:numPr>
          <w:ilvl w:val="0"/>
          <w:numId w:val="14"/>
        </w:numPr>
        <w:tabs>
          <w:tab w:val="left" w:pos="567"/>
          <w:tab w:val="left" w:pos="851"/>
          <w:tab w:val="left" w:pos="1134"/>
          <w:tab w:val="left" w:pos="1701"/>
        </w:tabs>
        <w:spacing w:after="0"/>
        <w:ind w:left="0" w:firstLine="0"/>
      </w:pPr>
      <w:r w:rsidRPr="00D2203A">
        <w:t>O</w:t>
      </w:r>
      <w:r w:rsidR="00B60DD1" w:rsidRPr="00D2203A">
        <w:t xml:space="preserve"> Advogado Público atuante no processo deverá requerer que os honorários advocatícios</w:t>
      </w:r>
      <w:r w:rsidR="00FF6872" w:rsidRPr="00D2203A">
        <w:t xml:space="preserve"> de sucumbência</w:t>
      </w:r>
      <w:r w:rsidR="00B60DD1" w:rsidRPr="00D2203A">
        <w:t xml:space="preserve"> sejam objeto de alvará apartado e que sejam credita</w:t>
      </w:r>
      <w:r w:rsidR="00FF6872" w:rsidRPr="00D2203A">
        <w:t xml:space="preserve">dos na conta bancária </w:t>
      </w:r>
      <w:r w:rsidR="00224AF0" w:rsidRPr="00D2203A">
        <w:t xml:space="preserve">específica </w:t>
      </w:r>
      <w:r w:rsidR="00FF6872" w:rsidRPr="00D2203A">
        <w:t>do CAU/DF, sempre que existir mais de um advogado que tenha direito ao rateio.</w:t>
      </w:r>
    </w:p>
    <w:p w14:paraId="269F266E" w14:textId="77777777" w:rsidR="00224AF0" w:rsidRPr="00D2203A" w:rsidRDefault="00224AF0" w:rsidP="00224AF0">
      <w:pPr>
        <w:pStyle w:val="PargrafodaLista"/>
        <w:tabs>
          <w:tab w:val="left" w:pos="567"/>
          <w:tab w:val="left" w:pos="851"/>
          <w:tab w:val="left" w:pos="1134"/>
          <w:tab w:val="left" w:pos="1701"/>
        </w:tabs>
        <w:spacing w:after="0"/>
        <w:ind w:left="0"/>
      </w:pPr>
    </w:p>
    <w:p w14:paraId="6FE0F297" w14:textId="1964F04E" w:rsidR="00E37016" w:rsidRPr="00D2203A" w:rsidRDefault="00970915" w:rsidP="00886A72">
      <w:pPr>
        <w:pStyle w:val="PargrafodaLista"/>
        <w:numPr>
          <w:ilvl w:val="0"/>
          <w:numId w:val="14"/>
        </w:numPr>
        <w:tabs>
          <w:tab w:val="left" w:pos="567"/>
          <w:tab w:val="left" w:pos="851"/>
          <w:tab w:val="left" w:pos="1134"/>
          <w:tab w:val="left" w:pos="1701"/>
        </w:tabs>
        <w:spacing w:after="0"/>
        <w:ind w:left="0" w:firstLine="0"/>
      </w:pPr>
      <w:r w:rsidRPr="00D2203A">
        <w:t>Nos processos ajuizados em que o alvará for expedido de forma automatizada na conta do CAU/DF, a Gerência Financeira do CAU/DF deverá proceder a imediata transferência dos valores relativos aos honorários advocatícios para a conta bancária</w:t>
      </w:r>
      <w:r w:rsidR="00C456A3" w:rsidRPr="00D2203A">
        <w:t xml:space="preserve"> esp</w:t>
      </w:r>
      <w:r w:rsidR="00556AB0" w:rsidRPr="00D2203A">
        <w:t>ecífica</w:t>
      </w:r>
      <w:r w:rsidR="00886A72" w:rsidRPr="00D2203A">
        <w:t>.</w:t>
      </w:r>
    </w:p>
    <w:p w14:paraId="517167F8" w14:textId="77777777" w:rsidR="00886A72" w:rsidRPr="00D2203A" w:rsidRDefault="00886A72" w:rsidP="00886A72">
      <w:pPr>
        <w:pStyle w:val="PargrafodaLista"/>
        <w:tabs>
          <w:tab w:val="left" w:pos="567"/>
          <w:tab w:val="left" w:pos="851"/>
          <w:tab w:val="left" w:pos="1134"/>
          <w:tab w:val="left" w:pos="1701"/>
        </w:tabs>
        <w:spacing w:after="0"/>
        <w:ind w:left="0"/>
      </w:pPr>
    </w:p>
    <w:p w14:paraId="06AE6DF6" w14:textId="6B78AE65" w:rsidR="00886A72" w:rsidRPr="00D2203A" w:rsidRDefault="00886A72" w:rsidP="00224AF0">
      <w:pPr>
        <w:pStyle w:val="PargrafodaLista"/>
        <w:tabs>
          <w:tab w:val="left" w:pos="567"/>
          <w:tab w:val="left" w:pos="851"/>
          <w:tab w:val="left" w:pos="1134"/>
          <w:tab w:val="left" w:pos="1701"/>
        </w:tabs>
        <w:spacing w:after="0"/>
        <w:ind w:left="0"/>
      </w:pPr>
      <w:r w:rsidRPr="00D2203A">
        <w:lastRenderedPageBreak/>
        <w:t>Art. 10. A Gerência Financeira do CAU/DF deverá cumprir todas as determinações legais referentes ao assunto, bem como as determinações constantes da Porta</w:t>
      </w:r>
      <w:r w:rsidR="004760D1" w:rsidRPr="00D2203A">
        <w:t xml:space="preserve">ria Normativa nº 66, de 13 de agosto de 2018, do </w:t>
      </w:r>
      <w:r w:rsidR="00224AF0" w:rsidRPr="00D2203A">
        <w:t>Conselho de Arquitetura e Urbanismo do Brasil (</w:t>
      </w:r>
      <w:r w:rsidR="004760D1" w:rsidRPr="00D2203A">
        <w:t>CAU/BR</w:t>
      </w:r>
      <w:r w:rsidR="00224AF0" w:rsidRPr="00D2203A">
        <w:t>)</w:t>
      </w:r>
      <w:r w:rsidR="004760D1" w:rsidRPr="00D2203A">
        <w:t>.</w:t>
      </w:r>
    </w:p>
    <w:p w14:paraId="2A6DA364" w14:textId="77777777" w:rsidR="00223A2D" w:rsidRPr="00D2203A" w:rsidRDefault="00223A2D" w:rsidP="00224AF0">
      <w:pPr>
        <w:pStyle w:val="PargrafodaLista"/>
        <w:tabs>
          <w:tab w:val="left" w:pos="567"/>
          <w:tab w:val="left" w:pos="851"/>
          <w:tab w:val="left" w:pos="1134"/>
          <w:tab w:val="left" w:pos="1701"/>
        </w:tabs>
        <w:spacing w:after="0"/>
        <w:ind w:left="0"/>
      </w:pPr>
    </w:p>
    <w:p w14:paraId="01EBE97A" w14:textId="73F53890" w:rsidR="00E37016" w:rsidRPr="00D2203A" w:rsidRDefault="004760D1" w:rsidP="00224AF0">
      <w:pPr>
        <w:pStyle w:val="Corpodetexto"/>
        <w:tabs>
          <w:tab w:val="left" w:pos="567"/>
          <w:tab w:val="left" w:pos="851"/>
          <w:tab w:val="left" w:pos="1134"/>
        </w:tabs>
        <w:spacing w:after="0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 w:rsidRPr="00D2203A">
        <w:rPr>
          <w:rFonts w:ascii="Calibri" w:hAnsi="Calibri" w:cs="Calibri"/>
          <w:sz w:val="24"/>
          <w:szCs w:val="24"/>
        </w:rPr>
        <w:t xml:space="preserve">Art. 11. </w:t>
      </w:r>
      <w:r w:rsidR="00E37016" w:rsidRPr="00D2203A">
        <w:rPr>
          <w:rFonts w:ascii="Calibri" w:hAnsi="Calibri" w:cs="Calibri"/>
          <w:sz w:val="24"/>
          <w:szCs w:val="24"/>
        </w:rPr>
        <w:t>Os honorários advocatícios enquadram-se como valores por ingresso extra orçamentário, conforme Art. 3º, parágrafo único, da Lei Federal nº 4.320</w:t>
      </w:r>
      <w:r w:rsidR="00032E2A" w:rsidRPr="00D2203A">
        <w:rPr>
          <w:rFonts w:ascii="Calibri" w:hAnsi="Calibri" w:cs="Calibri"/>
          <w:sz w:val="24"/>
          <w:szCs w:val="24"/>
        </w:rPr>
        <w:t xml:space="preserve">, de 17 março de </w:t>
      </w:r>
      <w:r w:rsidR="00E37016" w:rsidRPr="00D2203A">
        <w:rPr>
          <w:rFonts w:ascii="Calibri" w:hAnsi="Calibri" w:cs="Calibri"/>
          <w:sz w:val="24"/>
          <w:szCs w:val="24"/>
        </w:rPr>
        <w:t>1964.</w:t>
      </w:r>
    </w:p>
    <w:p w14:paraId="4B0C8087" w14:textId="39AB9389" w:rsidR="00E37016" w:rsidRPr="00D2203A" w:rsidRDefault="00E37016" w:rsidP="00224AF0">
      <w:pPr>
        <w:pStyle w:val="Corpodetexto"/>
        <w:tabs>
          <w:tab w:val="left" w:pos="567"/>
          <w:tab w:val="left" w:pos="851"/>
          <w:tab w:val="left" w:pos="1134"/>
        </w:tabs>
        <w:spacing w:after="0"/>
        <w:ind w:left="0"/>
        <w:contextualSpacing/>
        <w:jc w:val="both"/>
        <w:rPr>
          <w:rFonts w:ascii="Calibri" w:hAnsi="Calibri" w:cs="Calibri"/>
          <w:sz w:val="24"/>
          <w:szCs w:val="24"/>
        </w:rPr>
      </w:pPr>
    </w:p>
    <w:p w14:paraId="17727C7E" w14:textId="6BDE0B50" w:rsidR="001E4AE2" w:rsidRPr="00D2203A" w:rsidRDefault="001E4AE2" w:rsidP="00224AF0">
      <w:pPr>
        <w:pStyle w:val="PargrafodaLista"/>
        <w:numPr>
          <w:ilvl w:val="0"/>
          <w:numId w:val="15"/>
        </w:numPr>
        <w:tabs>
          <w:tab w:val="left" w:pos="567"/>
          <w:tab w:val="left" w:pos="851"/>
          <w:tab w:val="left" w:pos="1134"/>
          <w:tab w:val="left" w:pos="2268"/>
        </w:tabs>
        <w:spacing w:after="0"/>
        <w:ind w:left="0" w:firstLine="0"/>
        <w:rPr>
          <w:rFonts w:eastAsia="Carlito"/>
        </w:rPr>
      </w:pPr>
      <w:r w:rsidRPr="00D2203A">
        <w:rPr>
          <w:rFonts w:eastAsia="Carlito"/>
        </w:rPr>
        <w:t xml:space="preserve">Os casos omissos e excepcionais serão resolvidos pela </w:t>
      </w:r>
      <w:r w:rsidR="00BA5D79" w:rsidRPr="00D2203A">
        <w:rPr>
          <w:rFonts w:eastAsia="Carlito"/>
        </w:rPr>
        <w:t>presidência do CAU/DF</w:t>
      </w:r>
      <w:r w:rsidRPr="00D2203A">
        <w:rPr>
          <w:rFonts w:eastAsia="Carlito"/>
        </w:rPr>
        <w:t xml:space="preserve">, </w:t>
      </w:r>
      <w:r w:rsidR="00434538" w:rsidRPr="00D2203A">
        <w:rPr>
          <w:rFonts w:eastAsia="Carlito"/>
        </w:rPr>
        <w:t xml:space="preserve">e </w:t>
      </w:r>
      <w:r w:rsidRPr="00D2203A">
        <w:rPr>
          <w:rFonts w:eastAsia="Carlito"/>
        </w:rPr>
        <w:t xml:space="preserve">na sua </w:t>
      </w:r>
      <w:r w:rsidR="001944FA" w:rsidRPr="00D2203A">
        <w:rPr>
          <w:rFonts w:eastAsia="Carlito"/>
        </w:rPr>
        <w:t>ausência, pela</w:t>
      </w:r>
      <w:r w:rsidR="00434538" w:rsidRPr="00D2203A">
        <w:rPr>
          <w:rFonts w:eastAsia="Carlito"/>
        </w:rPr>
        <w:t xml:space="preserve"> </w:t>
      </w:r>
      <w:r w:rsidRPr="00D2203A">
        <w:rPr>
          <w:rFonts w:eastAsia="Carlito"/>
        </w:rPr>
        <w:t xml:space="preserve">Gerência </w:t>
      </w:r>
      <w:r w:rsidR="00BA5D79" w:rsidRPr="00D2203A">
        <w:rPr>
          <w:rFonts w:eastAsia="Carlito"/>
        </w:rPr>
        <w:t>Geral</w:t>
      </w:r>
      <w:r w:rsidRPr="00D2203A">
        <w:rPr>
          <w:rFonts w:eastAsia="Carlito"/>
        </w:rPr>
        <w:t>.</w:t>
      </w:r>
    </w:p>
    <w:p w14:paraId="012B4FF9" w14:textId="77777777" w:rsidR="00BA5D79" w:rsidRPr="00D2203A" w:rsidRDefault="00BA5D79" w:rsidP="00224AF0">
      <w:pPr>
        <w:pStyle w:val="PargrafodaLista"/>
        <w:tabs>
          <w:tab w:val="left" w:pos="567"/>
          <w:tab w:val="left" w:pos="851"/>
          <w:tab w:val="left" w:pos="1134"/>
          <w:tab w:val="left" w:pos="2268"/>
        </w:tabs>
        <w:spacing w:after="0"/>
        <w:ind w:left="0"/>
        <w:rPr>
          <w:rFonts w:eastAsia="Carlito"/>
        </w:rPr>
      </w:pPr>
    </w:p>
    <w:p w14:paraId="281A91BD" w14:textId="11B04244" w:rsidR="006A6AB8" w:rsidRPr="00D2203A" w:rsidRDefault="006A6AB8" w:rsidP="00224AF0">
      <w:pPr>
        <w:pStyle w:val="PargrafodaLista"/>
        <w:numPr>
          <w:ilvl w:val="0"/>
          <w:numId w:val="15"/>
        </w:numPr>
        <w:tabs>
          <w:tab w:val="left" w:pos="567"/>
          <w:tab w:val="left" w:pos="851"/>
          <w:tab w:val="left" w:pos="1134"/>
          <w:tab w:val="left" w:pos="2268"/>
        </w:tabs>
        <w:spacing w:after="0"/>
        <w:ind w:left="0" w:firstLine="0"/>
        <w:rPr>
          <w:rFonts w:eastAsia="Carlito"/>
        </w:rPr>
      </w:pPr>
      <w:r w:rsidRPr="00D2203A">
        <w:rPr>
          <w:rFonts w:eastAsia="Carlito"/>
        </w:rPr>
        <w:t xml:space="preserve">Esta Portaria entra em vigor na data de sua publicação no sítio eletrônico do CAU/DF, no endereço </w:t>
      </w:r>
      <w:hyperlink r:id="rId9" w:history="1">
        <w:r w:rsidR="00F777C0" w:rsidRPr="003316CE">
          <w:rPr>
            <w:rStyle w:val="Hyperlink"/>
            <w:rFonts w:eastAsia="Carlito"/>
          </w:rPr>
          <w:t>www.caudf.gov.br</w:t>
        </w:r>
      </w:hyperlink>
      <w:r w:rsidR="00F777C0">
        <w:rPr>
          <w:rFonts w:eastAsia="Carlito"/>
        </w:rPr>
        <w:t>,</w:t>
      </w:r>
      <w:r w:rsidR="002F0A65">
        <w:rPr>
          <w:rFonts w:eastAsia="Carlito"/>
        </w:rPr>
        <w:t xml:space="preserve"> </w:t>
      </w:r>
      <w:r w:rsidRPr="00D2203A">
        <w:rPr>
          <w:rFonts w:eastAsia="Carlito"/>
        </w:rPr>
        <w:t xml:space="preserve"> com efeitos a partir da data da sua assinatura.</w:t>
      </w:r>
    </w:p>
    <w:p w14:paraId="3BA8D7FA" w14:textId="34D4405D" w:rsidR="001B1A0C" w:rsidRPr="00D2203A" w:rsidRDefault="001B1A0C" w:rsidP="003B421A">
      <w:pPr>
        <w:tabs>
          <w:tab w:val="left" w:pos="567"/>
          <w:tab w:val="left" w:pos="851"/>
          <w:tab w:val="left" w:pos="1134"/>
          <w:tab w:val="left" w:pos="1701"/>
          <w:tab w:val="left" w:pos="2268"/>
        </w:tabs>
        <w:spacing w:after="0"/>
        <w:contextualSpacing/>
        <w:rPr>
          <w:rFonts w:eastAsia="Carlito"/>
        </w:rPr>
      </w:pPr>
    </w:p>
    <w:p w14:paraId="4DB5F1B9" w14:textId="77777777" w:rsidR="006A6AB8" w:rsidRPr="00D2203A" w:rsidRDefault="006A6AB8" w:rsidP="003B421A">
      <w:pPr>
        <w:tabs>
          <w:tab w:val="left" w:pos="567"/>
          <w:tab w:val="left" w:pos="851"/>
          <w:tab w:val="left" w:pos="1134"/>
          <w:tab w:val="left" w:pos="1701"/>
          <w:tab w:val="left" w:pos="2268"/>
        </w:tabs>
        <w:spacing w:after="0"/>
        <w:contextualSpacing/>
        <w:rPr>
          <w:rFonts w:eastAsia="Carlito"/>
        </w:rPr>
      </w:pPr>
    </w:p>
    <w:p w14:paraId="794410BA" w14:textId="52F4D7F0" w:rsidR="001E4AE2" w:rsidRPr="00D2203A" w:rsidRDefault="00484112" w:rsidP="003B421A">
      <w:pPr>
        <w:tabs>
          <w:tab w:val="left" w:pos="567"/>
          <w:tab w:val="left" w:pos="851"/>
          <w:tab w:val="left" w:pos="1134"/>
          <w:tab w:val="left" w:pos="1701"/>
          <w:tab w:val="left" w:pos="2268"/>
        </w:tabs>
        <w:spacing w:after="0"/>
        <w:contextualSpacing/>
        <w:jc w:val="center"/>
        <w:rPr>
          <w:rFonts w:eastAsia="Carlito"/>
        </w:rPr>
      </w:pPr>
      <w:r w:rsidRPr="00D2203A">
        <w:rPr>
          <w:rFonts w:eastAsia="Carlito"/>
        </w:rPr>
        <w:t>Brasília</w:t>
      </w:r>
      <w:r w:rsidR="001E4AE2" w:rsidRPr="00D2203A">
        <w:rPr>
          <w:rFonts w:eastAsia="Carlito"/>
        </w:rPr>
        <w:t xml:space="preserve">, </w:t>
      </w:r>
      <w:r w:rsidR="00F777C0">
        <w:rPr>
          <w:rFonts w:eastAsia="Carlito"/>
        </w:rPr>
        <w:t>15</w:t>
      </w:r>
      <w:r w:rsidR="001E4AE2" w:rsidRPr="00D2203A">
        <w:rPr>
          <w:rFonts w:eastAsia="Carlito"/>
        </w:rPr>
        <w:t xml:space="preserve"> de </w:t>
      </w:r>
      <w:r w:rsidR="00157B3A" w:rsidRPr="00D2203A">
        <w:rPr>
          <w:rFonts w:eastAsia="Carlito"/>
        </w:rPr>
        <w:t>fevereiro</w:t>
      </w:r>
      <w:r w:rsidR="001E4AE2" w:rsidRPr="00D2203A">
        <w:rPr>
          <w:rFonts w:eastAsia="Carlito"/>
        </w:rPr>
        <w:t xml:space="preserve"> de 20</w:t>
      </w:r>
      <w:r w:rsidR="00157B3A" w:rsidRPr="00D2203A">
        <w:rPr>
          <w:rFonts w:eastAsia="Carlito"/>
        </w:rPr>
        <w:t>23</w:t>
      </w:r>
      <w:r w:rsidR="001E4AE2" w:rsidRPr="00D2203A">
        <w:rPr>
          <w:rFonts w:eastAsia="Carlito"/>
        </w:rPr>
        <w:t>.</w:t>
      </w:r>
    </w:p>
    <w:p w14:paraId="4342B3A2" w14:textId="577273D3" w:rsidR="001E4AE2" w:rsidRPr="00D2203A" w:rsidRDefault="001E4AE2" w:rsidP="003B421A">
      <w:pPr>
        <w:tabs>
          <w:tab w:val="left" w:pos="567"/>
          <w:tab w:val="left" w:pos="851"/>
          <w:tab w:val="left" w:pos="1134"/>
          <w:tab w:val="left" w:pos="1701"/>
          <w:tab w:val="left" w:pos="2268"/>
        </w:tabs>
        <w:spacing w:after="0"/>
        <w:contextualSpacing/>
        <w:jc w:val="center"/>
        <w:rPr>
          <w:rFonts w:eastAsia="Carlito"/>
        </w:rPr>
      </w:pPr>
    </w:p>
    <w:p w14:paraId="5CD255F8" w14:textId="0C38EFA7" w:rsidR="001B1A0C" w:rsidRPr="00D2203A" w:rsidRDefault="001B1A0C" w:rsidP="003B421A">
      <w:pPr>
        <w:tabs>
          <w:tab w:val="left" w:pos="567"/>
          <w:tab w:val="left" w:pos="851"/>
          <w:tab w:val="left" w:pos="1134"/>
          <w:tab w:val="left" w:pos="1701"/>
          <w:tab w:val="left" w:pos="2268"/>
        </w:tabs>
        <w:spacing w:after="0"/>
        <w:contextualSpacing/>
        <w:jc w:val="center"/>
        <w:rPr>
          <w:rFonts w:eastAsia="Carlito"/>
        </w:rPr>
      </w:pPr>
    </w:p>
    <w:p w14:paraId="7F4E8400" w14:textId="022AE5E5" w:rsidR="001B1A0C" w:rsidRPr="00D2203A" w:rsidRDefault="001B1A0C" w:rsidP="003B421A">
      <w:pPr>
        <w:tabs>
          <w:tab w:val="left" w:pos="567"/>
          <w:tab w:val="left" w:pos="851"/>
          <w:tab w:val="left" w:pos="1134"/>
          <w:tab w:val="left" w:pos="1701"/>
          <w:tab w:val="left" w:pos="2268"/>
        </w:tabs>
        <w:spacing w:after="0"/>
        <w:contextualSpacing/>
        <w:jc w:val="center"/>
        <w:rPr>
          <w:rFonts w:eastAsia="Carlito"/>
        </w:rPr>
      </w:pPr>
    </w:p>
    <w:p w14:paraId="42C23944" w14:textId="301BAC97" w:rsidR="001B1A0C" w:rsidRPr="00D2203A" w:rsidRDefault="001B1A0C" w:rsidP="003B421A">
      <w:pPr>
        <w:tabs>
          <w:tab w:val="left" w:pos="567"/>
          <w:tab w:val="left" w:pos="851"/>
          <w:tab w:val="left" w:pos="1134"/>
          <w:tab w:val="left" w:pos="1701"/>
          <w:tab w:val="left" w:pos="2268"/>
        </w:tabs>
        <w:spacing w:after="0"/>
        <w:contextualSpacing/>
        <w:jc w:val="center"/>
        <w:rPr>
          <w:rFonts w:eastAsia="Carlito"/>
        </w:rPr>
      </w:pPr>
    </w:p>
    <w:p w14:paraId="70F21A0D" w14:textId="77777777" w:rsidR="001E4AE2" w:rsidRPr="00D2203A" w:rsidRDefault="001E4AE2" w:rsidP="003B421A">
      <w:pPr>
        <w:tabs>
          <w:tab w:val="left" w:pos="567"/>
          <w:tab w:val="left" w:pos="851"/>
          <w:tab w:val="left" w:pos="1134"/>
          <w:tab w:val="left" w:pos="1701"/>
          <w:tab w:val="left" w:pos="2268"/>
        </w:tabs>
        <w:spacing w:after="0"/>
        <w:contextualSpacing/>
        <w:jc w:val="center"/>
        <w:rPr>
          <w:rFonts w:eastAsia="Carlito"/>
        </w:rPr>
      </w:pPr>
    </w:p>
    <w:p w14:paraId="77431BBE" w14:textId="4F09B4DD" w:rsidR="001E4AE2" w:rsidRPr="00D2203A" w:rsidRDefault="00484112" w:rsidP="003B421A">
      <w:pPr>
        <w:tabs>
          <w:tab w:val="left" w:pos="567"/>
          <w:tab w:val="left" w:pos="851"/>
          <w:tab w:val="left" w:pos="1134"/>
          <w:tab w:val="left" w:pos="1701"/>
          <w:tab w:val="left" w:pos="2268"/>
        </w:tabs>
        <w:spacing w:after="0"/>
        <w:contextualSpacing/>
        <w:jc w:val="center"/>
        <w:rPr>
          <w:rFonts w:eastAsia="Carlito"/>
          <w:b/>
          <w:bCs/>
        </w:rPr>
      </w:pPr>
      <w:r w:rsidRPr="00D2203A">
        <w:rPr>
          <w:rFonts w:eastAsia="Carlito"/>
          <w:b/>
          <w:bCs/>
        </w:rPr>
        <w:t>MÔNICA ANDRÉA BLANCO</w:t>
      </w:r>
    </w:p>
    <w:p w14:paraId="54924CB7" w14:textId="77777777" w:rsidR="00484112" w:rsidRPr="00D2203A" w:rsidRDefault="001E4AE2" w:rsidP="003B421A">
      <w:pPr>
        <w:tabs>
          <w:tab w:val="left" w:pos="567"/>
          <w:tab w:val="left" w:pos="851"/>
          <w:tab w:val="left" w:pos="1134"/>
          <w:tab w:val="left" w:pos="1701"/>
          <w:tab w:val="left" w:pos="2268"/>
        </w:tabs>
        <w:spacing w:after="0"/>
        <w:contextualSpacing/>
        <w:jc w:val="center"/>
        <w:rPr>
          <w:rFonts w:eastAsia="Carlito"/>
        </w:rPr>
      </w:pPr>
      <w:r w:rsidRPr="00D2203A">
        <w:rPr>
          <w:rFonts w:eastAsia="Carlito"/>
        </w:rPr>
        <w:t>Presidente</w:t>
      </w:r>
    </w:p>
    <w:p w14:paraId="2BD4A3F5" w14:textId="0A56AD5D" w:rsidR="001B1A0C" w:rsidRPr="00D2203A" w:rsidRDefault="0024332A" w:rsidP="003B421A">
      <w:pPr>
        <w:tabs>
          <w:tab w:val="left" w:pos="567"/>
          <w:tab w:val="left" w:pos="851"/>
          <w:tab w:val="left" w:pos="1134"/>
          <w:tab w:val="left" w:pos="1701"/>
          <w:tab w:val="left" w:pos="2268"/>
        </w:tabs>
        <w:spacing w:after="0"/>
        <w:contextualSpacing/>
        <w:jc w:val="center"/>
        <w:rPr>
          <w:rFonts w:eastAsia="Carlito"/>
        </w:rPr>
      </w:pPr>
      <w:r w:rsidRPr="00D2203A">
        <w:rPr>
          <w:rFonts w:eastAsia="Carlito"/>
        </w:rPr>
        <w:t>CAU/DF</w:t>
      </w:r>
    </w:p>
    <w:sectPr w:rsidR="001B1A0C" w:rsidRPr="00D2203A" w:rsidSect="00FD23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851" w:bottom="1418" w:left="1701" w:header="709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2B11D" w14:textId="77777777" w:rsidR="001502D4" w:rsidRDefault="001502D4">
      <w:pPr>
        <w:ind w:left="3403"/>
      </w:pPr>
      <w:r>
        <w:separator/>
      </w:r>
    </w:p>
  </w:endnote>
  <w:endnote w:type="continuationSeparator" w:id="0">
    <w:p w14:paraId="6C253FA3" w14:textId="77777777" w:rsidR="001502D4" w:rsidRDefault="001502D4">
      <w:pPr>
        <w:ind w:left="340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FE7E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3403"/>
      <w:rPr>
        <w:color w:val="000000"/>
      </w:rPr>
    </w:pPr>
  </w:p>
  <w:p w14:paraId="2FDF592B" w14:textId="77777777" w:rsidR="007F1DF5" w:rsidRDefault="007F1DF5">
    <w:pPr>
      <w:ind w:left="340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174C" w14:textId="77777777" w:rsidR="00345EFB" w:rsidRPr="00900F41" w:rsidRDefault="00345EFB" w:rsidP="001B1A0C">
    <w:pPr>
      <w:spacing w:after="0"/>
      <w:ind w:right="-7"/>
      <w:jc w:val="center"/>
      <w:rPr>
        <w:rFonts w:ascii="DaxCondensed-Regular" w:hAnsi="DaxCondensed-Regular"/>
        <w:color w:val="1C3942"/>
        <w:sz w:val="16"/>
        <w:szCs w:val="16"/>
      </w:rPr>
    </w:pPr>
    <w:r w:rsidRPr="00900F41">
      <w:rPr>
        <w:noProof/>
        <w:color w:val="1C394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44C69A4" wp14:editId="4B85AEA1">
              <wp:simplePos x="0" y="0"/>
              <wp:positionH relativeFrom="margin">
                <wp:posOffset>81915</wp:posOffset>
              </wp:positionH>
              <wp:positionV relativeFrom="page">
                <wp:posOffset>9992360</wp:posOffset>
              </wp:positionV>
              <wp:extent cx="5734800" cy="10800"/>
              <wp:effectExtent l="0" t="0" r="37465" b="27305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800" cy="108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518E21" id="Conector reto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margin;mso-height-relative:margin" from="6.45pt,786.8pt" to="458pt,7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" strokecolor="#1c3942" strokeweight="1.5pt">
              <o:lock v:ext="edit" shapetype="f"/>
              <w10:wrap anchorx="margin" anchory="page"/>
            </v:line>
          </w:pict>
        </mc:Fallback>
      </mc:AlternateContent>
    </w:r>
    <w:r w:rsidRPr="00900F41">
      <w:rPr>
        <w:rFonts w:ascii="DaxCondensed-Regular" w:hAnsi="DaxCondensed-Regular"/>
        <w:color w:val="1C3942"/>
        <w:sz w:val="16"/>
        <w:szCs w:val="16"/>
      </w:rPr>
      <w:t xml:space="preserve">Página </w:t>
    </w:r>
    <w:r w:rsidRPr="00900F41">
      <w:rPr>
        <w:rFonts w:ascii="DaxCondensed-Regular" w:hAnsi="DaxCondensed-Regular"/>
        <w:color w:val="1C3942"/>
        <w:sz w:val="16"/>
        <w:szCs w:val="16"/>
      </w:rPr>
      <w:fldChar w:fldCharType="begin"/>
    </w:r>
    <w:r w:rsidRPr="00900F41">
      <w:rPr>
        <w:rFonts w:ascii="DaxCondensed-Regular" w:hAnsi="DaxCondensed-Regular"/>
        <w:color w:val="1C3942"/>
        <w:sz w:val="16"/>
        <w:szCs w:val="16"/>
      </w:rPr>
      <w:instrText>PAGE</w:instrText>
    </w:r>
    <w:r w:rsidRPr="00900F41">
      <w:rPr>
        <w:rFonts w:ascii="DaxCondensed-Regular" w:hAnsi="DaxCondensed-Regular"/>
        <w:color w:val="1C3942"/>
        <w:sz w:val="16"/>
        <w:szCs w:val="16"/>
      </w:rPr>
      <w:fldChar w:fldCharType="separate"/>
    </w:r>
    <w:r w:rsidR="004760D1">
      <w:rPr>
        <w:rFonts w:ascii="DaxCondensed-Regular" w:hAnsi="DaxCondensed-Regular"/>
        <w:noProof/>
        <w:color w:val="1C3942"/>
        <w:sz w:val="16"/>
        <w:szCs w:val="16"/>
      </w:rPr>
      <w:t>1</w:t>
    </w:r>
    <w:r w:rsidRPr="00900F41">
      <w:rPr>
        <w:rFonts w:ascii="DaxCondensed-Regular" w:hAnsi="DaxCondensed-Regular"/>
        <w:color w:val="1C3942"/>
        <w:sz w:val="16"/>
        <w:szCs w:val="16"/>
      </w:rPr>
      <w:fldChar w:fldCharType="end"/>
    </w:r>
    <w:r w:rsidRPr="00900F41">
      <w:rPr>
        <w:rFonts w:ascii="DaxCondensed-Regular" w:hAnsi="DaxCondensed-Regular"/>
        <w:color w:val="1C3942"/>
        <w:sz w:val="16"/>
        <w:szCs w:val="16"/>
      </w:rPr>
      <w:t xml:space="preserve"> de </w:t>
    </w:r>
    <w:r w:rsidRPr="00900F41">
      <w:rPr>
        <w:rFonts w:ascii="DaxCondensed-Regular" w:hAnsi="DaxCondensed-Regular"/>
        <w:color w:val="1C3942"/>
        <w:sz w:val="16"/>
        <w:szCs w:val="16"/>
      </w:rPr>
      <w:fldChar w:fldCharType="begin"/>
    </w:r>
    <w:r w:rsidRPr="00900F41">
      <w:rPr>
        <w:rFonts w:ascii="DaxCondensed-Regular" w:hAnsi="DaxCondensed-Regular"/>
        <w:color w:val="1C3942"/>
        <w:sz w:val="16"/>
        <w:szCs w:val="16"/>
      </w:rPr>
      <w:instrText>NUMPAGES</w:instrText>
    </w:r>
    <w:r w:rsidRPr="00900F41">
      <w:rPr>
        <w:rFonts w:ascii="DaxCondensed-Regular" w:hAnsi="DaxCondensed-Regular"/>
        <w:color w:val="1C3942"/>
        <w:sz w:val="16"/>
        <w:szCs w:val="16"/>
      </w:rPr>
      <w:fldChar w:fldCharType="separate"/>
    </w:r>
    <w:r w:rsidR="004760D1">
      <w:rPr>
        <w:rFonts w:ascii="DaxCondensed-Regular" w:hAnsi="DaxCondensed-Regular"/>
        <w:noProof/>
        <w:color w:val="1C3942"/>
        <w:sz w:val="16"/>
        <w:szCs w:val="16"/>
      </w:rPr>
      <w:t>3</w:t>
    </w:r>
    <w:r w:rsidRPr="00900F41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1EA29E4C" w14:textId="77777777" w:rsidR="00345EFB" w:rsidRPr="00900F41" w:rsidRDefault="00345EFB" w:rsidP="001B1A0C">
    <w:pPr>
      <w:spacing w:after="0"/>
      <w:ind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900F41">
      <w:rPr>
        <w:rFonts w:ascii="DaxCondensed-Regular" w:hAnsi="DaxCondensed-Regular"/>
        <w:color w:val="1C3942"/>
        <w:sz w:val="18"/>
        <w:szCs w:val="18"/>
      </w:rPr>
      <w:t>SEPN 510 - Bloco A - CEP 70.750-521 - Brasília/DF - (61) 3222-5176/3222-5179</w:t>
    </w:r>
  </w:p>
  <w:p w14:paraId="494506F8" w14:textId="3F2EF28B" w:rsidR="00A7148F" w:rsidRPr="00345EFB" w:rsidRDefault="00345EFB" w:rsidP="001B1A0C">
    <w:pPr>
      <w:spacing w:after="0"/>
      <w:ind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900F41">
      <w:rPr>
        <w:rFonts w:ascii="DaxCondensed-Regular" w:hAnsi="DaxCondensed-Regular"/>
        <w:color w:val="1C3942"/>
        <w:sz w:val="18"/>
        <w:szCs w:val="18"/>
      </w:rPr>
      <w:t>www.caudf.gov.br | atendimento@caudf.gov.br</w:t>
    </w:r>
  </w:p>
  <w:p w14:paraId="0D500C01" w14:textId="77777777" w:rsidR="007F1DF5" w:rsidRDefault="007F1DF5">
    <w:pPr>
      <w:ind w:left="340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397A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3403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72261" w14:textId="77777777" w:rsidR="001502D4" w:rsidRDefault="001502D4">
      <w:pPr>
        <w:ind w:left="3403"/>
      </w:pPr>
      <w:r>
        <w:separator/>
      </w:r>
    </w:p>
  </w:footnote>
  <w:footnote w:type="continuationSeparator" w:id="0">
    <w:p w14:paraId="0532B63F" w14:textId="77777777" w:rsidR="001502D4" w:rsidRDefault="001502D4">
      <w:pPr>
        <w:ind w:left="340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705C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3403"/>
      <w:rPr>
        <w:color w:val="000000"/>
      </w:rPr>
    </w:pPr>
  </w:p>
  <w:p w14:paraId="17315885" w14:textId="77777777" w:rsidR="007F1DF5" w:rsidRDefault="007F1DF5">
    <w:pPr>
      <w:ind w:left="340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B9A9" w14:textId="7145C749" w:rsidR="007F1DF5" w:rsidRDefault="0044771D" w:rsidP="003C4BBA">
    <w:pPr>
      <w:pStyle w:val="Cabealho"/>
    </w:pPr>
    <w:r>
      <w:rPr>
        <w:noProof/>
      </w:rPr>
      <w:drawing>
        <wp:anchor distT="0" distB="0" distL="0" distR="0" simplePos="0" relativeHeight="251660288" behindDoc="0" locked="0" layoutInCell="1" allowOverlap="1" wp14:anchorId="52F7949E" wp14:editId="70165E85">
          <wp:simplePos x="0" y="0"/>
          <wp:positionH relativeFrom="column">
            <wp:align>center</wp:align>
          </wp:positionH>
          <wp:positionV relativeFrom="page">
            <wp:posOffset>447675</wp:posOffset>
          </wp:positionV>
          <wp:extent cx="5756400" cy="327600"/>
          <wp:effectExtent l="0" t="0" r="0" b="0"/>
          <wp:wrapThrough wrapText="bothSides">
            <wp:wrapPolygon edited="0">
              <wp:start x="1430" y="0"/>
              <wp:lineTo x="0" y="8808"/>
              <wp:lineTo x="0" y="12583"/>
              <wp:lineTo x="2287" y="20132"/>
              <wp:lineTo x="5361" y="20132"/>
              <wp:lineTo x="21517" y="12583"/>
              <wp:lineTo x="21517" y="8808"/>
              <wp:lineTo x="4575" y="0"/>
              <wp:lineTo x="1430" y="0"/>
            </wp:wrapPolygon>
          </wp:wrapThrough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400" cy="32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34D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3403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9C8"/>
    <w:multiLevelType w:val="hybridMultilevel"/>
    <w:tmpl w:val="D3EE01F2"/>
    <w:lvl w:ilvl="0" w:tplc="11B2458E">
      <w:start w:val="1"/>
      <w:numFmt w:val="upperRoman"/>
      <w:lvlText w:val="%1 - "/>
      <w:lvlJc w:val="left"/>
      <w:pPr>
        <w:ind w:left="578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C8F4006"/>
    <w:multiLevelType w:val="hybridMultilevel"/>
    <w:tmpl w:val="5DC6D7D4"/>
    <w:lvl w:ilvl="0" w:tplc="6DA248BC">
      <w:start w:val="12"/>
      <w:numFmt w:val="decimal"/>
      <w:lvlText w:val="Art. %1."/>
      <w:lvlJc w:val="left"/>
      <w:pPr>
        <w:ind w:left="720" w:hanging="360"/>
      </w:pPr>
      <w:rPr>
        <w:rFonts w:ascii="Calibri" w:hAnsi="Calibri" w:cs="Calibri" w:hint="default"/>
        <w:b w:val="0"/>
        <w:i w:val="0"/>
        <w:strike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F0B19"/>
    <w:multiLevelType w:val="hybridMultilevel"/>
    <w:tmpl w:val="CBB8F6D2"/>
    <w:lvl w:ilvl="0" w:tplc="70C22ACA">
      <w:start w:val="1"/>
      <w:numFmt w:val="ordinal"/>
      <w:lvlText w:val="§ %1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E7F84"/>
    <w:multiLevelType w:val="hybridMultilevel"/>
    <w:tmpl w:val="6064568A"/>
    <w:lvl w:ilvl="0" w:tplc="1DA6C4FE">
      <w:start w:val="1"/>
      <w:numFmt w:val="ordinal"/>
      <w:lvlText w:val="§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B6028"/>
    <w:multiLevelType w:val="hybridMultilevel"/>
    <w:tmpl w:val="73A0294E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A14E8"/>
    <w:multiLevelType w:val="hybridMultilevel"/>
    <w:tmpl w:val="5D1696DE"/>
    <w:lvl w:ilvl="0" w:tplc="1DA6C4FE">
      <w:start w:val="1"/>
      <w:numFmt w:val="ordinal"/>
      <w:lvlText w:val="§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A3785"/>
    <w:multiLevelType w:val="hybridMultilevel"/>
    <w:tmpl w:val="E8DAAA5E"/>
    <w:lvl w:ilvl="0" w:tplc="6CC076A8">
      <w:start w:val="11"/>
      <w:numFmt w:val="decimal"/>
      <w:lvlText w:val="Art. %1."/>
      <w:lvlJc w:val="left"/>
      <w:pPr>
        <w:ind w:left="2138" w:hanging="360"/>
      </w:pPr>
      <w:rPr>
        <w:rFonts w:ascii="Calibri" w:hAnsi="Calibri" w:cs="Calibri" w:hint="default"/>
        <w:b w:val="0"/>
        <w:i w:val="0"/>
        <w:strike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56EBD"/>
    <w:multiLevelType w:val="hybridMultilevel"/>
    <w:tmpl w:val="2AB25EE6"/>
    <w:lvl w:ilvl="0" w:tplc="1DA6C4FE">
      <w:start w:val="1"/>
      <w:numFmt w:val="ordinal"/>
      <w:lvlText w:val="§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64FD7"/>
    <w:multiLevelType w:val="hybridMultilevel"/>
    <w:tmpl w:val="C360B908"/>
    <w:lvl w:ilvl="0" w:tplc="077A52EA">
      <w:start w:val="1"/>
      <w:numFmt w:val="ordinal"/>
      <w:lvlText w:val="Art. %1"/>
      <w:lvlJc w:val="left"/>
      <w:pPr>
        <w:ind w:left="2138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53C034A2"/>
    <w:multiLevelType w:val="hybridMultilevel"/>
    <w:tmpl w:val="E9F27EAA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902F9"/>
    <w:multiLevelType w:val="hybridMultilevel"/>
    <w:tmpl w:val="15D03244"/>
    <w:lvl w:ilvl="0" w:tplc="B7E41504">
      <w:start w:val="1"/>
      <w:numFmt w:val="ordinal"/>
      <w:lvlText w:val="§ %1"/>
      <w:lvlJc w:val="left"/>
      <w:pPr>
        <w:ind w:left="644" w:hanging="360"/>
      </w:pPr>
      <w:rPr>
        <w:rFonts w:hint="default"/>
        <w:strike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343408F"/>
    <w:multiLevelType w:val="hybridMultilevel"/>
    <w:tmpl w:val="D56894E4"/>
    <w:lvl w:ilvl="0" w:tplc="1DA6C4FE">
      <w:start w:val="1"/>
      <w:numFmt w:val="ordinal"/>
      <w:lvlText w:val="§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B3BEA"/>
    <w:multiLevelType w:val="hybridMultilevel"/>
    <w:tmpl w:val="6074CEF2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A6725"/>
    <w:multiLevelType w:val="hybridMultilevel"/>
    <w:tmpl w:val="9FA87916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F2503"/>
    <w:multiLevelType w:val="hybridMultilevel"/>
    <w:tmpl w:val="3B8CBDBE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482080">
    <w:abstractNumId w:val="8"/>
  </w:num>
  <w:num w:numId="2" w16cid:durableId="165705683">
    <w:abstractNumId w:val="6"/>
  </w:num>
  <w:num w:numId="3" w16cid:durableId="800877042">
    <w:abstractNumId w:val="12"/>
  </w:num>
  <w:num w:numId="4" w16cid:durableId="1619527630">
    <w:abstractNumId w:val="10"/>
  </w:num>
  <w:num w:numId="5" w16cid:durableId="285159439">
    <w:abstractNumId w:val="3"/>
  </w:num>
  <w:num w:numId="6" w16cid:durableId="2045935329">
    <w:abstractNumId w:val="9"/>
  </w:num>
  <w:num w:numId="7" w16cid:durableId="1817332693">
    <w:abstractNumId w:val="7"/>
  </w:num>
  <w:num w:numId="8" w16cid:durableId="1409158777">
    <w:abstractNumId w:val="4"/>
  </w:num>
  <w:num w:numId="9" w16cid:durableId="1278097611">
    <w:abstractNumId w:val="5"/>
  </w:num>
  <w:num w:numId="10" w16cid:durableId="1671328824">
    <w:abstractNumId w:val="13"/>
  </w:num>
  <w:num w:numId="11" w16cid:durableId="330377772">
    <w:abstractNumId w:val="14"/>
  </w:num>
  <w:num w:numId="12" w16cid:durableId="939411448">
    <w:abstractNumId w:val="0"/>
  </w:num>
  <w:num w:numId="13" w16cid:durableId="203445272">
    <w:abstractNumId w:val="11"/>
  </w:num>
  <w:num w:numId="14" w16cid:durableId="1038429254">
    <w:abstractNumId w:val="2"/>
  </w:num>
  <w:num w:numId="15" w16cid:durableId="198661606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48F"/>
    <w:rsid w:val="000006DE"/>
    <w:rsid w:val="000008E8"/>
    <w:rsid w:val="00000D9C"/>
    <w:rsid w:val="00004B79"/>
    <w:rsid w:val="00010D7A"/>
    <w:rsid w:val="00011A3E"/>
    <w:rsid w:val="000131C5"/>
    <w:rsid w:val="00013F6D"/>
    <w:rsid w:val="00015B61"/>
    <w:rsid w:val="00020ED7"/>
    <w:rsid w:val="0002128B"/>
    <w:rsid w:val="00024C28"/>
    <w:rsid w:val="00025841"/>
    <w:rsid w:val="00030039"/>
    <w:rsid w:val="00032801"/>
    <w:rsid w:val="00032E2A"/>
    <w:rsid w:val="00033483"/>
    <w:rsid w:val="000337B5"/>
    <w:rsid w:val="00034AC6"/>
    <w:rsid w:val="000360FB"/>
    <w:rsid w:val="000365F6"/>
    <w:rsid w:val="00036B0B"/>
    <w:rsid w:val="0004009D"/>
    <w:rsid w:val="000401B6"/>
    <w:rsid w:val="00041989"/>
    <w:rsid w:val="00041B1C"/>
    <w:rsid w:val="00042A14"/>
    <w:rsid w:val="00043C52"/>
    <w:rsid w:val="000476D1"/>
    <w:rsid w:val="00047E0F"/>
    <w:rsid w:val="000620E7"/>
    <w:rsid w:val="000648E1"/>
    <w:rsid w:val="00066863"/>
    <w:rsid w:val="00074964"/>
    <w:rsid w:val="0007612F"/>
    <w:rsid w:val="00076C11"/>
    <w:rsid w:val="00077065"/>
    <w:rsid w:val="00081775"/>
    <w:rsid w:val="000821F3"/>
    <w:rsid w:val="00082CA9"/>
    <w:rsid w:val="0008332E"/>
    <w:rsid w:val="00085ECC"/>
    <w:rsid w:val="00092745"/>
    <w:rsid w:val="00094718"/>
    <w:rsid w:val="000948A1"/>
    <w:rsid w:val="000955C9"/>
    <w:rsid w:val="00095A71"/>
    <w:rsid w:val="000A0A83"/>
    <w:rsid w:val="000A1278"/>
    <w:rsid w:val="000A259A"/>
    <w:rsid w:val="000A2782"/>
    <w:rsid w:val="000A349E"/>
    <w:rsid w:val="000A4171"/>
    <w:rsid w:val="000A46A0"/>
    <w:rsid w:val="000A4F6E"/>
    <w:rsid w:val="000B117E"/>
    <w:rsid w:val="000B1AC0"/>
    <w:rsid w:val="000B60AF"/>
    <w:rsid w:val="000C13CB"/>
    <w:rsid w:val="000C5519"/>
    <w:rsid w:val="000C57A2"/>
    <w:rsid w:val="000C782E"/>
    <w:rsid w:val="000C7E4A"/>
    <w:rsid w:val="000D690F"/>
    <w:rsid w:val="000E218C"/>
    <w:rsid w:val="000E4092"/>
    <w:rsid w:val="000E42F6"/>
    <w:rsid w:val="000F0A6A"/>
    <w:rsid w:val="000F7F29"/>
    <w:rsid w:val="00105A16"/>
    <w:rsid w:val="00111CCC"/>
    <w:rsid w:val="00111D3C"/>
    <w:rsid w:val="0011289A"/>
    <w:rsid w:val="00113A25"/>
    <w:rsid w:val="00114C32"/>
    <w:rsid w:val="00115889"/>
    <w:rsid w:val="00115F8D"/>
    <w:rsid w:val="0011602C"/>
    <w:rsid w:val="001162CD"/>
    <w:rsid w:val="00122721"/>
    <w:rsid w:val="00122F0A"/>
    <w:rsid w:val="001230D8"/>
    <w:rsid w:val="0012539D"/>
    <w:rsid w:val="00126081"/>
    <w:rsid w:val="0013765C"/>
    <w:rsid w:val="00137D64"/>
    <w:rsid w:val="0014015B"/>
    <w:rsid w:val="00140AE5"/>
    <w:rsid w:val="00142A38"/>
    <w:rsid w:val="001432D5"/>
    <w:rsid w:val="00146553"/>
    <w:rsid w:val="001502D4"/>
    <w:rsid w:val="00150714"/>
    <w:rsid w:val="00150C68"/>
    <w:rsid w:val="00152AAE"/>
    <w:rsid w:val="00153366"/>
    <w:rsid w:val="001541F6"/>
    <w:rsid w:val="00154912"/>
    <w:rsid w:val="00154A97"/>
    <w:rsid w:val="0015739E"/>
    <w:rsid w:val="00157B3A"/>
    <w:rsid w:val="0016146C"/>
    <w:rsid w:val="00162BB3"/>
    <w:rsid w:val="0016396F"/>
    <w:rsid w:val="00174F7E"/>
    <w:rsid w:val="00180E08"/>
    <w:rsid w:val="00180E4E"/>
    <w:rsid w:val="0018476C"/>
    <w:rsid w:val="00184AE7"/>
    <w:rsid w:val="00185867"/>
    <w:rsid w:val="0019320E"/>
    <w:rsid w:val="001944FA"/>
    <w:rsid w:val="0019745D"/>
    <w:rsid w:val="001979C8"/>
    <w:rsid w:val="00197ADD"/>
    <w:rsid w:val="001A0A3A"/>
    <w:rsid w:val="001A2F1F"/>
    <w:rsid w:val="001A47FD"/>
    <w:rsid w:val="001A55D5"/>
    <w:rsid w:val="001A5C65"/>
    <w:rsid w:val="001B03BA"/>
    <w:rsid w:val="001B1A0C"/>
    <w:rsid w:val="001B2EA9"/>
    <w:rsid w:val="001C24B9"/>
    <w:rsid w:val="001C4E69"/>
    <w:rsid w:val="001C6274"/>
    <w:rsid w:val="001C7963"/>
    <w:rsid w:val="001D0552"/>
    <w:rsid w:val="001D1D1B"/>
    <w:rsid w:val="001D2266"/>
    <w:rsid w:val="001D3C79"/>
    <w:rsid w:val="001D40FF"/>
    <w:rsid w:val="001D7F0A"/>
    <w:rsid w:val="001E1C77"/>
    <w:rsid w:val="001E2973"/>
    <w:rsid w:val="001E2C32"/>
    <w:rsid w:val="001E4022"/>
    <w:rsid w:val="001E4079"/>
    <w:rsid w:val="001E4AE2"/>
    <w:rsid w:val="001F0421"/>
    <w:rsid w:val="001F13D8"/>
    <w:rsid w:val="001F28EB"/>
    <w:rsid w:val="001F3624"/>
    <w:rsid w:val="001F45F4"/>
    <w:rsid w:val="001F4E82"/>
    <w:rsid w:val="002004CC"/>
    <w:rsid w:val="00201CA2"/>
    <w:rsid w:val="00201EEF"/>
    <w:rsid w:val="002023CA"/>
    <w:rsid w:val="002039F8"/>
    <w:rsid w:val="00205E1C"/>
    <w:rsid w:val="00210500"/>
    <w:rsid w:val="00211B2C"/>
    <w:rsid w:val="0021282B"/>
    <w:rsid w:val="00213ABD"/>
    <w:rsid w:val="00216CBD"/>
    <w:rsid w:val="00220878"/>
    <w:rsid w:val="00223A2D"/>
    <w:rsid w:val="00223B67"/>
    <w:rsid w:val="002249AB"/>
    <w:rsid w:val="00224AF0"/>
    <w:rsid w:val="00225280"/>
    <w:rsid w:val="00225C5A"/>
    <w:rsid w:val="0022639A"/>
    <w:rsid w:val="00226833"/>
    <w:rsid w:val="002273CB"/>
    <w:rsid w:val="00227439"/>
    <w:rsid w:val="00227653"/>
    <w:rsid w:val="00230212"/>
    <w:rsid w:val="00234A79"/>
    <w:rsid w:val="00234A8A"/>
    <w:rsid w:val="002359E9"/>
    <w:rsid w:val="00237118"/>
    <w:rsid w:val="00237F23"/>
    <w:rsid w:val="00240343"/>
    <w:rsid w:val="00240615"/>
    <w:rsid w:val="00240B86"/>
    <w:rsid w:val="00242116"/>
    <w:rsid w:val="00242239"/>
    <w:rsid w:val="00242BD0"/>
    <w:rsid w:val="0024332A"/>
    <w:rsid w:val="00243339"/>
    <w:rsid w:val="002469CA"/>
    <w:rsid w:val="002472AA"/>
    <w:rsid w:val="002506F4"/>
    <w:rsid w:val="00251CAA"/>
    <w:rsid w:val="002520CB"/>
    <w:rsid w:val="00254542"/>
    <w:rsid w:val="00255059"/>
    <w:rsid w:val="0025569D"/>
    <w:rsid w:val="002576C7"/>
    <w:rsid w:val="00257728"/>
    <w:rsid w:val="002605E8"/>
    <w:rsid w:val="00261C59"/>
    <w:rsid w:val="00263C9E"/>
    <w:rsid w:val="0026472B"/>
    <w:rsid w:val="002667F8"/>
    <w:rsid w:val="00275E14"/>
    <w:rsid w:val="00277415"/>
    <w:rsid w:val="00281DB3"/>
    <w:rsid w:val="00282A36"/>
    <w:rsid w:val="00283F30"/>
    <w:rsid w:val="0028482C"/>
    <w:rsid w:val="00287B38"/>
    <w:rsid w:val="002903C0"/>
    <w:rsid w:val="00291359"/>
    <w:rsid w:val="00295073"/>
    <w:rsid w:val="00295FFA"/>
    <w:rsid w:val="002961DF"/>
    <w:rsid w:val="00297BA5"/>
    <w:rsid w:val="002A21FC"/>
    <w:rsid w:val="002A2EF8"/>
    <w:rsid w:val="002A4119"/>
    <w:rsid w:val="002A526D"/>
    <w:rsid w:val="002A55D8"/>
    <w:rsid w:val="002A729E"/>
    <w:rsid w:val="002B3177"/>
    <w:rsid w:val="002B5AB0"/>
    <w:rsid w:val="002B68A7"/>
    <w:rsid w:val="002B6C49"/>
    <w:rsid w:val="002C1E98"/>
    <w:rsid w:val="002C2DAE"/>
    <w:rsid w:val="002C3283"/>
    <w:rsid w:val="002C4D4A"/>
    <w:rsid w:val="002C4EE6"/>
    <w:rsid w:val="002C606C"/>
    <w:rsid w:val="002C722B"/>
    <w:rsid w:val="002D1008"/>
    <w:rsid w:val="002D5543"/>
    <w:rsid w:val="002E25F8"/>
    <w:rsid w:val="002E4611"/>
    <w:rsid w:val="002E47AB"/>
    <w:rsid w:val="002E5EDD"/>
    <w:rsid w:val="002F0A65"/>
    <w:rsid w:val="002F2BE8"/>
    <w:rsid w:val="002F3066"/>
    <w:rsid w:val="002F3E09"/>
    <w:rsid w:val="003048ED"/>
    <w:rsid w:val="00305AE6"/>
    <w:rsid w:val="00307C4D"/>
    <w:rsid w:val="0031037E"/>
    <w:rsid w:val="00310C31"/>
    <w:rsid w:val="003125E7"/>
    <w:rsid w:val="00313BD7"/>
    <w:rsid w:val="003150C1"/>
    <w:rsid w:val="00315A07"/>
    <w:rsid w:val="00315D95"/>
    <w:rsid w:val="003202D0"/>
    <w:rsid w:val="00321066"/>
    <w:rsid w:val="0032131C"/>
    <w:rsid w:val="0032260D"/>
    <w:rsid w:val="00323336"/>
    <w:rsid w:val="0032391D"/>
    <w:rsid w:val="0032424F"/>
    <w:rsid w:val="003257DF"/>
    <w:rsid w:val="00327E8E"/>
    <w:rsid w:val="003320BA"/>
    <w:rsid w:val="0033504C"/>
    <w:rsid w:val="0033662A"/>
    <w:rsid w:val="00342E67"/>
    <w:rsid w:val="00345EFB"/>
    <w:rsid w:val="00346B1C"/>
    <w:rsid w:val="003479E8"/>
    <w:rsid w:val="00350458"/>
    <w:rsid w:val="0035364C"/>
    <w:rsid w:val="003551B4"/>
    <w:rsid w:val="00357541"/>
    <w:rsid w:val="00361BE3"/>
    <w:rsid w:val="00361BFA"/>
    <w:rsid w:val="00363F4D"/>
    <w:rsid w:val="00365779"/>
    <w:rsid w:val="00366448"/>
    <w:rsid w:val="003668DE"/>
    <w:rsid w:val="003669E0"/>
    <w:rsid w:val="003705D6"/>
    <w:rsid w:val="00372D5D"/>
    <w:rsid w:val="00373155"/>
    <w:rsid w:val="003733FB"/>
    <w:rsid w:val="0037344D"/>
    <w:rsid w:val="003800A1"/>
    <w:rsid w:val="00380D2B"/>
    <w:rsid w:val="0038213D"/>
    <w:rsid w:val="003832BF"/>
    <w:rsid w:val="0038410D"/>
    <w:rsid w:val="0038667F"/>
    <w:rsid w:val="0038697B"/>
    <w:rsid w:val="00390372"/>
    <w:rsid w:val="003903BE"/>
    <w:rsid w:val="00392609"/>
    <w:rsid w:val="00394C80"/>
    <w:rsid w:val="00395189"/>
    <w:rsid w:val="00395E2B"/>
    <w:rsid w:val="003A0B47"/>
    <w:rsid w:val="003A34F5"/>
    <w:rsid w:val="003A384F"/>
    <w:rsid w:val="003A6A0B"/>
    <w:rsid w:val="003A70C6"/>
    <w:rsid w:val="003A7E25"/>
    <w:rsid w:val="003B19DF"/>
    <w:rsid w:val="003B2DE9"/>
    <w:rsid w:val="003B30AB"/>
    <w:rsid w:val="003B3ABB"/>
    <w:rsid w:val="003B421A"/>
    <w:rsid w:val="003B427A"/>
    <w:rsid w:val="003B5919"/>
    <w:rsid w:val="003C0F32"/>
    <w:rsid w:val="003C157F"/>
    <w:rsid w:val="003C257A"/>
    <w:rsid w:val="003C338B"/>
    <w:rsid w:val="003C4BBA"/>
    <w:rsid w:val="003C6049"/>
    <w:rsid w:val="003C65EA"/>
    <w:rsid w:val="003E3EEB"/>
    <w:rsid w:val="003E4C44"/>
    <w:rsid w:val="003E613E"/>
    <w:rsid w:val="003E7BED"/>
    <w:rsid w:val="003F367D"/>
    <w:rsid w:val="003F42CE"/>
    <w:rsid w:val="003F57FC"/>
    <w:rsid w:val="003F758E"/>
    <w:rsid w:val="003F7DFD"/>
    <w:rsid w:val="00400830"/>
    <w:rsid w:val="00402354"/>
    <w:rsid w:val="004037F1"/>
    <w:rsid w:val="004105F4"/>
    <w:rsid w:val="00410A2B"/>
    <w:rsid w:val="00410BEB"/>
    <w:rsid w:val="004162F5"/>
    <w:rsid w:val="00417C24"/>
    <w:rsid w:val="00420CA0"/>
    <w:rsid w:val="00420D85"/>
    <w:rsid w:val="0042222A"/>
    <w:rsid w:val="00425BF3"/>
    <w:rsid w:val="00426B34"/>
    <w:rsid w:val="004275CA"/>
    <w:rsid w:val="0043150A"/>
    <w:rsid w:val="004333BC"/>
    <w:rsid w:val="00433AB8"/>
    <w:rsid w:val="00433E88"/>
    <w:rsid w:val="00434538"/>
    <w:rsid w:val="00435B1B"/>
    <w:rsid w:val="00436B38"/>
    <w:rsid w:val="00436BE9"/>
    <w:rsid w:val="00437B9D"/>
    <w:rsid w:val="00443203"/>
    <w:rsid w:val="00443479"/>
    <w:rsid w:val="004439CD"/>
    <w:rsid w:val="00443F14"/>
    <w:rsid w:val="0044533A"/>
    <w:rsid w:val="00445A87"/>
    <w:rsid w:val="0044771D"/>
    <w:rsid w:val="00447CEC"/>
    <w:rsid w:val="00453555"/>
    <w:rsid w:val="0045462A"/>
    <w:rsid w:val="0045726A"/>
    <w:rsid w:val="004629CB"/>
    <w:rsid w:val="004633E7"/>
    <w:rsid w:val="00470EDD"/>
    <w:rsid w:val="00472085"/>
    <w:rsid w:val="0047214D"/>
    <w:rsid w:val="00474932"/>
    <w:rsid w:val="00474DBD"/>
    <w:rsid w:val="0047549B"/>
    <w:rsid w:val="004760D1"/>
    <w:rsid w:val="004763FE"/>
    <w:rsid w:val="004815C4"/>
    <w:rsid w:val="004822E0"/>
    <w:rsid w:val="00484112"/>
    <w:rsid w:val="00484EB2"/>
    <w:rsid w:val="0048644F"/>
    <w:rsid w:val="00491510"/>
    <w:rsid w:val="00492E48"/>
    <w:rsid w:val="00493896"/>
    <w:rsid w:val="00493F2A"/>
    <w:rsid w:val="00496D58"/>
    <w:rsid w:val="00497A37"/>
    <w:rsid w:val="004A0939"/>
    <w:rsid w:val="004A2A07"/>
    <w:rsid w:val="004A41A6"/>
    <w:rsid w:val="004B19F3"/>
    <w:rsid w:val="004B23CE"/>
    <w:rsid w:val="004B3D1A"/>
    <w:rsid w:val="004B476A"/>
    <w:rsid w:val="004B47A5"/>
    <w:rsid w:val="004B6285"/>
    <w:rsid w:val="004B6EF8"/>
    <w:rsid w:val="004C0023"/>
    <w:rsid w:val="004C0220"/>
    <w:rsid w:val="004C18B5"/>
    <w:rsid w:val="004C204D"/>
    <w:rsid w:val="004C41C5"/>
    <w:rsid w:val="004C55D2"/>
    <w:rsid w:val="004C631B"/>
    <w:rsid w:val="004C7DAD"/>
    <w:rsid w:val="004D195D"/>
    <w:rsid w:val="004D3F26"/>
    <w:rsid w:val="004D3F66"/>
    <w:rsid w:val="004D5EB4"/>
    <w:rsid w:val="004D6638"/>
    <w:rsid w:val="004D68DC"/>
    <w:rsid w:val="004E0628"/>
    <w:rsid w:val="004E2FAA"/>
    <w:rsid w:val="004E5E4D"/>
    <w:rsid w:val="004E6669"/>
    <w:rsid w:val="004E740D"/>
    <w:rsid w:val="004E7ADC"/>
    <w:rsid w:val="004F2C30"/>
    <w:rsid w:val="004F2C6E"/>
    <w:rsid w:val="004F367F"/>
    <w:rsid w:val="004F3B4B"/>
    <w:rsid w:val="004F3FB1"/>
    <w:rsid w:val="004F5B92"/>
    <w:rsid w:val="004F6077"/>
    <w:rsid w:val="004F7C13"/>
    <w:rsid w:val="00501751"/>
    <w:rsid w:val="00502B7E"/>
    <w:rsid w:val="00503405"/>
    <w:rsid w:val="005034B8"/>
    <w:rsid w:val="005039F9"/>
    <w:rsid w:val="00505AE6"/>
    <w:rsid w:val="00507F05"/>
    <w:rsid w:val="00510A50"/>
    <w:rsid w:val="0051179C"/>
    <w:rsid w:val="005130BA"/>
    <w:rsid w:val="00513ACD"/>
    <w:rsid w:val="00513FA1"/>
    <w:rsid w:val="0051722C"/>
    <w:rsid w:val="00522DA2"/>
    <w:rsid w:val="005238D7"/>
    <w:rsid w:val="00523F47"/>
    <w:rsid w:val="0052425A"/>
    <w:rsid w:val="00525458"/>
    <w:rsid w:val="005260C2"/>
    <w:rsid w:val="00526F43"/>
    <w:rsid w:val="00527393"/>
    <w:rsid w:val="00530596"/>
    <w:rsid w:val="00532501"/>
    <w:rsid w:val="00532C5B"/>
    <w:rsid w:val="00532E82"/>
    <w:rsid w:val="00533CA9"/>
    <w:rsid w:val="00536B3F"/>
    <w:rsid w:val="00541024"/>
    <w:rsid w:val="005411EC"/>
    <w:rsid w:val="00541537"/>
    <w:rsid w:val="00541E8A"/>
    <w:rsid w:val="00542D24"/>
    <w:rsid w:val="00543D57"/>
    <w:rsid w:val="00543F86"/>
    <w:rsid w:val="005446AC"/>
    <w:rsid w:val="005451AB"/>
    <w:rsid w:val="00545879"/>
    <w:rsid w:val="00545BD0"/>
    <w:rsid w:val="00546A83"/>
    <w:rsid w:val="005473EB"/>
    <w:rsid w:val="00547415"/>
    <w:rsid w:val="00550FF9"/>
    <w:rsid w:val="00551A97"/>
    <w:rsid w:val="00551E7D"/>
    <w:rsid w:val="00552571"/>
    <w:rsid w:val="005536BD"/>
    <w:rsid w:val="00553838"/>
    <w:rsid w:val="00554649"/>
    <w:rsid w:val="00555B0B"/>
    <w:rsid w:val="00556AB0"/>
    <w:rsid w:val="00557478"/>
    <w:rsid w:val="00557CC9"/>
    <w:rsid w:val="0056187D"/>
    <w:rsid w:val="00564EFF"/>
    <w:rsid w:val="0056769E"/>
    <w:rsid w:val="00571A36"/>
    <w:rsid w:val="005727E0"/>
    <w:rsid w:val="005739C1"/>
    <w:rsid w:val="0057637C"/>
    <w:rsid w:val="005822D2"/>
    <w:rsid w:val="00586731"/>
    <w:rsid w:val="0058674B"/>
    <w:rsid w:val="00590EAA"/>
    <w:rsid w:val="00594255"/>
    <w:rsid w:val="00596033"/>
    <w:rsid w:val="0059656C"/>
    <w:rsid w:val="0059751F"/>
    <w:rsid w:val="005A059D"/>
    <w:rsid w:val="005A0ED9"/>
    <w:rsid w:val="005A3983"/>
    <w:rsid w:val="005A6599"/>
    <w:rsid w:val="005A7945"/>
    <w:rsid w:val="005A7F18"/>
    <w:rsid w:val="005B6840"/>
    <w:rsid w:val="005B7572"/>
    <w:rsid w:val="005C0B13"/>
    <w:rsid w:val="005C0F33"/>
    <w:rsid w:val="005C30C6"/>
    <w:rsid w:val="005C36CC"/>
    <w:rsid w:val="005C3AA4"/>
    <w:rsid w:val="005C5843"/>
    <w:rsid w:val="005C7115"/>
    <w:rsid w:val="005D0383"/>
    <w:rsid w:val="005D0A74"/>
    <w:rsid w:val="005D1468"/>
    <w:rsid w:val="005D25A2"/>
    <w:rsid w:val="005D6E44"/>
    <w:rsid w:val="005D7AE4"/>
    <w:rsid w:val="005D7CF2"/>
    <w:rsid w:val="005E0F04"/>
    <w:rsid w:val="005E36C5"/>
    <w:rsid w:val="005E374A"/>
    <w:rsid w:val="005E4F2F"/>
    <w:rsid w:val="005E536F"/>
    <w:rsid w:val="005F223C"/>
    <w:rsid w:val="005F35C6"/>
    <w:rsid w:val="005F4705"/>
    <w:rsid w:val="005F49EB"/>
    <w:rsid w:val="005F58F2"/>
    <w:rsid w:val="00601B23"/>
    <w:rsid w:val="00602561"/>
    <w:rsid w:val="006060C1"/>
    <w:rsid w:val="00606A02"/>
    <w:rsid w:val="006073EE"/>
    <w:rsid w:val="00610E67"/>
    <w:rsid w:val="00613C95"/>
    <w:rsid w:val="00613E18"/>
    <w:rsid w:val="00615318"/>
    <w:rsid w:val="00615B1F"/>
    <w:rsid w:val="00616C92"/>
    <w:rsid w:val="00616DF7"/>
    <w:rsid w:val="00617A22"/>
    <w:rsid w:val="006208B3"/>
    <w:rsid w:val="0062270C"/>
    <w:rsid w:val="00627489"/>
    <w:rsid w:val="006326F9"/>
    <w:rsid w:val="006363C8"/>
    <w:rsid w:val="0063664A"/>
    <w:rsid w:val="006375AD"/>
    <w:rsid w:val="00637F14"/>
    <w:rsid w:val="0064451B"/>
    <w:rsid w:val="0064593E"/>
    <w:rsid w:val="006467AA"/>
    <w:rsid w:val="00647F9C"/>
    <w:rsid w:val="006508EA"/>
    <w:rsid w:val="00651433"/>
    <w:rsid w:val="00657ED8"/>
    <w:rsid w:val="006609C6"/>
    <w:rsid w:val="00660D74"/>
    <w:rsid w:val="0066296C"/>
    <w:rsid w:val="006649CE"/>
    <w:rsid w:val="0066753B"/>
    <w:rsid w:val="00671E2B"/>
    <w:rsid w:val="0067406D"/>
    <w:rsid w:val="00677826"/>
    <w:rsid w:val="0068029B"/>
    <w:rsid w:val="006804FC"/>
    <w:rsid w:val="00681541"/>
    <w:rsid w:val="006819AE"/>
    <w:rsid w:val="00681B08"/>
    <w:rsid w:val="006823F1"/>
    <w:rsid w:val="00682AC1"/>
    <w:rsid w:val="00683207"/>
    <w:rsid w:val="00683C8E"/>
    <w:rsid w:val="00686821"/>
    <w:rsid w:val="00691C70"/>
    <w:rsid w:val="006921B7"/>
    <w:rsid w:val="006923F5"/>
    <w:rsid w:val="0069630C"/>
    <w:rsid w:val="006A3CAC"/>
    <w:rsid w:val="006A6AB8"/>
    <w:rsid w:val="006A718A"/>
    <w:rsid w:val="006A73FA"/>
    <w:rsid w:val="006B1BD8"/>
    <w:rsid w:val="006B637C"/>
    <w:rsid w:val="006B6F7E"/>
    <w:rsid w:val="006C1FC6"/>
    <w:rsid w:val="006C23CA"/>
    <w:rsid w:val="006C457F"/>
    <w:rsid w:val="006C529D"/>
    <w:rsid w:val="006C52B7"/>
    <w:rsid w:val="006C53AE"/>
    <w:rsid w:val="006D02DD"/>
    <w:rsid w:val="006D541F"/>
    <w:rsid w:val="006D5DEC"/>
    <w:rsid w:val="006D6725"/>
    <w:rsid w:val="006D74F4"/>
    <w:rsid w:val="006E06D8"/>
    <w:rsid w:val="006E1710"/>
    <w:rsid w:val="006E3866"/>
    <w:rsid w:val="006E489D"/>
    <w:rsid w:val="006E63B5"/>
    <w:rsid w:val="006E6B5C"/>
    <w:rsid w:val="006E7DDA"/>
    <w:rsid w:val="006F071A"/>
    <w:rsid w:val="006F1581"/>
    <w:rsid w:val="006F4B44"/>
    <w:rsid w:val="007006D6"/>
    <w:rsid w:val="00701DB3"/>
    <w:rsid w:val="00707959"/>
    <w:rsid w:val="00707B4E"/>
    <w:rsid w:val="00713679"/>
    <w:rsid w:val="00713FA6"/>
    <w:rsid w:val="00715A0C"/>
    <w:rsid w:val="00715FD2"/>
    <w:rsid w:val="00717C5C"/>
    <w:rsid w:val="007202D8"/>
    <w:rsid w:val="007212A6"/>
    <w:rsid w:val="00722685"/>
    <w:rsid w:val="00723466"/>
    <w:rsid w:val="00726FA5"/>
    <w:rsid w:val="00734054"/>
    <w:rsid w:val="00736384"/>
    <w:rsid w:val="0073647C"/>
    <w:rsid w:val="00736732"/>
    <w:rsid w:val="0074164F"/>
    <w:rsid w:val="007425FF"/>
    <w:rsid w:val="007429FF"/>
    <w:rsid w:val="00742C64"/>
    <w:rsid w:val="00742E65"/>
    <w:rsid w:val="00743E78"/>
    <w:rsid w:val="00745249"/>
    <w:rsid w:val="00746DE3"/>
    <w:rsid w:val="00747288"/>
    <w:rsid w:val="007474AE"/>
    <w:rsid w:val="00747546"/>
    <w:rsid w:val="00750F3E"/>
    <w:rsid w:val="0075213D"/>
    <w:rsid w:val="0075408C"/>
    <w:rsid w:val="007545C2"/>
    <w:rsid w:val="007572D5"/>
    <w:rsid w:val="00760960"/>
    <w:rsid w:val="00760E14"/>
    <w:rsid w:val="00770844"/>
    <w:rsid w:val="00770944"/>
    <w:rsid w:val="00772641"/>
    <w:rsid w:val="007752BE"/>
    <w:rsid w:val="00775CA3"/>
    <w:rsid w:val="007764F2"/>
    <w:rsid w:val="007776FD"/>
    <w:rsid w:val="00785417"/>
    <w:rsid w:val="00791A2F"/>
    <w:rsid w:val="0079395F"/>
    <w:rsid w:val="00794F1F"/>
    <w:rsid w:val="007A025B"/>
    <w:rsid w:val="007A0338"/>
    <w:rsid w:val="007A083C"/>
    <w:rsid w:val="007A537D"/>
    <w:rsid w:val="007B170F"/>
    <w:rsid w:val="007B4C5F"/>
    <w:rsid w:val="007B4CD9"/>
    <w:rsid w:val="007B5A04"/>
    <w:rsid w:val="007B5C65"/>
    <w:rsid w:val="007B69B1"/>
    <w:rsid w:val="007B6E7B"/>
    <w:rsid w:val="007C10A7"/>
    <w:rsid w:val="007C2D17"/>
    <w:rsid w:val="007C5E28"/>
    <w:rsid w:val="007D326C"/>
    <w:rsid w:val="007D37BA"/>
    <w:rsid w:val="007D5340"/>
    <w:rsid w:val="007D56DC"/>
    <w:rsid w:val="007D6B49"/>
    <w:rsid w:val="007E08FD"/>
    <w:rsid w:val="007E2E97"/>
    <w:rsid w:val="007E2EE8"/>
    <w:rsid w:val="007E67C7"/>
    <w:rsid w:val="007F064E"/>
    <w:rsid w:val="007F09DD"/>
    <w:rsid w:val="007F16D3"/>
    <w:rsid w:val="007F1A85"/>
    <w:rsid w:val="007F1AAF"/>
    <w:rsid w:val="007F1DF5"/>
    <w:rsid w:val="007F2034"/>
    <w:rsid w:val="007F252E"/>
    <w:rsid w:val="007F3D0F"/>
    <w:rsid w:val="007F6279"/>
    <w:rsid w:val="007F7FB6"/>
    <w:rsid w:val="0080025D"/>
    <w:rsid w:val="00800FEA"/>
    <w:rsid w:val="0080137C"/>
    <w:rsid w:val="00806192"/>
    <w:rsid w:val="00806A21"/>
    <w:rsid w:val="00810253"/>
    <w:rsid w:val="0081144F"/>
    <w:rsid w:val="008179DE"/>
    <w:rsid w:val="00820EF3"/>
    <w:rsid w:val="00822621"/>
    <w:rsid w:val="008237FB"/>
    <w:rsid w:val="00823BD7"/>
    <w:rsid w:val="00825635"/>
    <w:rsid w:val="00825E7F"/>
    <w:rsid w:val="00826505"/>
    <w:rsid w:val="008275B4"/>
    <w:rsid w:val="00827B1D"/>
    <w:rsid w:val="00827C40"/>
    <w:rsid w:val="0083189A"/>
    <w:rsid w:val="008324A6"/>
    <w:rsid w:val="0083262B"/>
    <w:rsid w:val="00834148"/>
    <w:rsid w:val="00836AEB"/>
    <w:rsid w:val="00836CCD"/>
    <w:rsid w:val="008410F1"/>
    <w:rsid w:val="00843D90"/>
    <w:rsid w:val="00845009"/>
    <w:rsid w:val="00846651"/>
    <w:rsid w:val="00850D78"/>
    <w:rsid w:val="00852DC3"/>
    <w:rsid w:val="00856003"/>
    <w:rsid w:val="00856F8E"/>
    <w:rsid w:val="008572CC"/>
    <w:rsid w:val="008578E0"/>
    <w:rsid w:val="00857A9D"/>
    <w:rsid w:val="00857E25"/>
    <w:rsid w:val="00862515"/>
    <w:rsid w:val="008630DF"/>
    <w:rsid w:val="0086351A"/>
    <w:rsid w:val="00864260"/>
    <w:rsid w:val="0086466B"/>
    <w:rsid w:val="00865B91"/>
    <w:rsid w:val="008677E5"/>
    <w:rsid w:val="008724FA"/>
    <w:rsid w:val="00873BBB"/>
    <w:rsid w:val="0087561C"/>
    <w:rsid w:val="008756B0"/>
    <w:rsid w:val="00875833"/>
    <w:rsid w:val="00881251"/>
    <w:rsid w:val="00885D0F"/>
    <w:rsid w:val="00886A72"/>
    <w:rsid w:val="00887167"/>
    <w:rsid w:val="00887168"/>
    <w:rsid w:val="00890CEB"/>
    <w:rsid w:val="00890D17"/>
    <w:rsid w:val="00891236"/>
    <w:rsid w:val="00892ACF"/>
    <w:rsid w:val="008936CC"/>
    <w:rsid w:val="008939CC"/>
    <w:rsid w:val="00894802"/>
    <w:rsid w:val="00895B19"/>
    <w:rsid w:val="00895CA0"/>
    <w:rsid w:val="0089603D"/>
    <w:rsid w:val="00897C75"/>
    <w:rsid w:val="008A3126"/>
    <w:rsid w:val="008A4DB5"/>
    <w:rsid w:val="008B0609"/>
    <w:rsid w:val="008B25BA"/>
    <w:rsid w:val="008B2935"/>
    <w:rsid w:val="008B2E94"/>
    <w:rsid w:val="008C2988"/>
    <w:rsid w:val="008C47A9"/>
    <w:rsid w:val="008C49E4"/>
    <w:rsid w:val="008C6930"/>
    <w:rsid w:val="008D47D0"/>
    <w:rsid w:val="008D4890"/>
    <w:rsid w:val="008E02B6"/>
    <w:rsid w:val="008E0702"/>
    <w:rsid w:val="008E3C65"/>
    <w:rsid w:val="008E462E"/>
    <w:rsid w:val="008E4671"/>
    <w:rsid w:val="008E5C7D"/>
    <w:rsid w:val="008E6EB5"/>
    <w:rsid w:val="008E73F6"/>
    <w:rsid w:val="008F236D"/>
    <w:rsid w:val="008F3471"/>
    <w:rsid w:val="008F7905"/>
    <w:rsid w:val="009031C9"/>
    <w:rsid w:val="009037D9"/>
    <w:rsid w:val="00903B31"/>
    <w:rsid w:val="00907C2E"/>
    <w:rsid w:val="00910B9A"/>
    <w:rsid w:val="00911186"/>
    <w:rsid w:val="009135DA"/>
    <w:rsid w:val="00914B5C"/>
    <w:rsid w:val="00921EC9"/>
    <w:rsid w:val="00922FAB"/>
    <w:rsid w:val="00923A2B"/>
    <w:rsid w:val="00923BC7"/>
    <w:rsid w:val="00924293"/>
    <w:rsid w:val="0092589E"/>
    <w:rsid w:val="00927334"/>
    <w:rsid w:val="0092775C"/>
    <w:rsid w:val="00931600"/>
    <w:rsid w:val="0093324C"/>
    <w:rsid w:val="00934850"/>
    <w:rsid w:val="00934AC1"/>
    <w:rsid w:val="009353F3"/>
    <w:rsid w:val="009355B3"/>
    <w:rsid w:val="00941B02"/>
    <w:rsid w:val="0094212D"/>
    <w:rsid w:val="009424D8"/>
    <w:rsid w:val="009429C4"/>
    <w:rsid w:val="00952D70"/>
    <w:rsid w:val="00955834"/>
    <w:rsid w:val="0095602C"/>
    <w:rsid w:val="00961F03"/>
    <w:rsid w:val="0096269E"/>
    <w:rsid w:val="00963A33"/>
    <w:rsid w:val="00964BDE"/>
    <w:rsid w:val="009650A4"/>
    <w:rsid w:val="009664FE"/>
    <w:rsid w:val="00967A87"/>
    <w:rsid w:val="00970806"/>
    <w:rsid w:val="00970915"/>
    <w:rsid w:val="00970A2F"/>
    <w:rsid w:val="00976909"/>
    <w:rsid w:val="00976C64"/>
    <w:rsid w:val="009819CB"/>
    <w:rsid w:val="00982765"/>
    <w:rsid w:val="00984530"/>
    <w:rsid w:val="00985DF9"/>
    <w:rsid w:val="009864BC"/>
    <w:rsid w:val="009913A9"/>
    <w:rsid w:val="009940BD"/>
    <w:rsid w:val="00994C4B"/>
    <w:rsid w:val="009977D5"/>
    <w:rsid w:val="009A0C76"/>
    <w:rsid w:val="009A2C85"/>
    <w:rsid w:val="009A378C"/>
    <w:rsid w:val="009A40DB"/>
    <w:rsid w:val="009A4344"/>
    <w:rsid w:val="009A4E87"/>
    <w:rsid w:val="009A5D4F"/>
    <w:rsid w:val="009A7B37"/>
    <w:rsid w:val="009B4D94"/>
    <w:rsid w:val="009B516D"/>
    <w:rsid w:val="009B521C"/>
    <w:rsid w:val="009B5407"/>
    <w:rsid w:val="009B5F8D"/>
    <w:rsid w:val="009B603E"/>
    <w:rsid w:val="009B7DC4"/>
    <w:rsid w:val="009C0E02"/>
    <w:rsid w:val="009C3407"/>
    <w:rsid w:val="009C682E"/>
    <w:rsid w:val="009C697C"/>
    <w:rsid w:val="009C6F15"/>
    <w:rsid w:val="009C7241"/>
    <w:rsid w:val="009D1CDB"/>
    <w:rsid w:val="009D4BDC"/>
    <w:rsid w:val="009D59CD"/>
    <w:rsid w:val="009E112D"/>
    <w:rsid w:val="009E1244"/>
    <w:rsid w:val="009E461B"/>
    <w:rsid w:val="009E5834"/>
    <w:rsid w:val="009E5B1B"/>
    <w:rsid w:val="009E6DF2"/>
    <w:rsid w:val="009F0122"/>
    <w:rsid w:val="009F2299"/>
    <w:rsid w:val="009F3986"/>
    <w:rsid w:val="009F4476"/>
    <w:rsid w:val="009F541E"/>
    <w:rsid w:val="00A03A90"/>
    <w:rsid w:val="00A10340"/>
    <w:rsid w:val="00A10765"/>
    <w:rsid w:val="00A1731D"/>
    <w:rsid w:val="00A20174"/>
    <w:rsid w:val="00A21487"/>
    <w:rsid w:val="00A244EF"/>
    <w:rsid w:val="00A24565"/>
    <w:rsid w:val="00A2572F"/>
    <w:rsid w:val="00A25B57"/>
    <w:rsid w:val="00A2642F"/>
    <w:rsid w:val="00A264FF"/>
    <w:rsid w:val="00A3183F"/>
    <w:rsid w:val="00A31D0D"/>
    <w:rsid w:val="00A32FED"/>
    <w:rsid w:val="00A3339C"/>
    <w:rsid w:val="00A339B8"/>
    <w:rsid w:val="00A3570E"/>
    <w:rsid w:val="00A35780"/>
    <w:rsid w:val="00A37845"/>
    <w:rsid w:val="00A43EC1"/>
    <w:rsid w:val="00A44C30"/>
    <w:rsid w:val="00A45486"/>
    <w:rsid w:val="00A45586"/>
    <w:rsid w:val="00A4560C"/>
    <w:rsid w:val="00A47F89"/>
    <w:rsid w:val="00A52614"/>
    <w:rsid w:val="00A52B56"/>
    <w:rsid w:val="00A53381"/>
    <w:rsid w:val="00A54825"/>
    <w:rsid w:val="00A555FC"/>
    <w:rsid w:val="00A62A87"/>
    <w:rsid w:val="00A64BA8"/>
    <w:rsid w:val="00A65801"/>
    <w:rsid w:val="00A7148F"/>
    <w:rsid w:val="00A77FE3"/>
    <w:rsid w:val="00A82E16"/>
    <w:rsid w:val="00A82EEF"/>
    <w:rsid w:val="00A83E84"/>
    <w:rsid w:val="00A84C3E"/>
    <w:rsid w:val="00A85802"/>
    <w:rsid w:val="00A85997"/>
    <w:rsid w:val="00A864C1"/>
    <w:rsid w:val="00A86C15"/>
    <w:rsid w:val="00A86D30"/>
    <w:rsid w:val="00A9220E"/>
    <w:rsid w:val="00A94964"/>
    <w:rsid w:val="00A97399"/>
    <w:rsid w:val="00A979D0"/>
    <w:rsid w:val="00A97DDA"/>
    <w:rsid w:val="00AA217B"/>
    <w:rsid w:val="00AA21D4"/>
    <w:rsid w:val="00AA5DF6"/>
    <w:rsid w:val="00AA6276"/>
    <w:rsid w:val="00AA6586"/>
    <w:rsid w:val="00AA6EAA"/>
    <w:rsid w:val="00AB1EC5"/>
    <w:rsid w:val="00AB2765"/>
    <w:rsid w:val="00AB2B83"/>
    <w:rsid w:val="00AB52F2"/>
    <w:rsid w:val="00AB58CA"/>
    <w:rsid w:val="00AB7B38"/>
    <w:rsid w:val="00AC21A2"/>
    <w:rsid w:val="00AC2889"/>
    <w:rsid w:val="00AC7391"/>
    <w:rsid w:val="00AD183A"/>
    <w:rsid w:val="00AD249C"/>
    <w:rsid w:val="00AD28F2"/>
    <w:rsid w:val="00AD439A"/>
    <w:rsid w:val="00AD494E"/>
    <w:rsid w:val="00AD5C25"/>
    <w:rsid w:val="00AD6F9A"/>
    <w:rsid w:val="00AE09A7"/>
    <w:rsid w:val="00AE0ADF"/>
    <w:rsid w:val="00AE478E"/>
    <w:rsid w:val="00AE6C22"/>
    <w:rsid w:val="00AE7FA8"/>
    <w:rsid w:val="00AF1F9A"/>
    <w:rsid w:val="00AF78DE"/>
    <w:rsid w:val="00B007EC"/>
    <w:rsid w:val="00B00FBF"/>
    <w:rsid w:val="00B04E7F"/>
    <w:rsid w:val="00B0504D"/>
    <w:rsid w:val="00B05410"/>
    <w:rsid w:val="00B05E36"/>
    <w:rsid w:val="00B062F2"/>
    <w:rsid w:val="00B0671F"/>
    <w:rsid w:val="00B07A2A"/>
    <w:rsid w:val="00B10B00"/>
    <w:rsid w:val="00B11DE1"/>
    <w:rsid w:val="00B12632"/>
    <w:rsid w:val="00B17B70"/>
    <w:rsid w:val="00B20C8C"/>
    <w:rsid w:val="00B212BC"/>
    <w:rsid w:val="00B21FE1"/>
    <w:rsid w:val="00B2310E"/>
    <w:rsid w:val="00B24D17"/>
    <w:rsid w:val="00B266BC"/>
    <w:rsid w:val="00B3173F"/>
    <w:rsid w:val="00B33CD8"/>
    <w:rsid w:val="00B370DF"/>
    <w:rsid w:val="00B408CE"/>
    <w:rsid w:val="00B46693"/>
    <w:rsid w:val="00B55D03"/>
    <w:rsid w:val="00B56990"/>
    <w:rsid w:val="00B57607"/>
    <w:rsid w:val="00B57A23"/>
    <w:rsid w:val="00B60526"/>
    <w:rsid w:val="00B60DD1"/>
    <w:rsid w:val="00B60E3B"/>
    <w:rsid w:val="00B61AAF"/>
    <w:rsid w:val="00B62233"/>
    <w:rsid w:val="00B623D2"/>
    <w:rsid w:val="00B63EE2"/>
    <w:rsid w:val="00B662D0"/>
    <w:rsid w:val="00B66E35"/>
    <w:rsid w:val="00B70A23"/>
    <w:rsid w:val="00B719F0"/>
    <w:rsid w:val="00B7375D"/>
    <w:rsid w:val="00B743B1"/>
    <w:rsid w:val="00B76A1C"/>
    <w:rsid w:val="00B801CF"/>
    <w:rsid w:val="00B81C6C"/>
    <w:rsid w:val="00B834FA"/>
    <w:rsid w:val="00B83728"/>
    <w:rsid w:val="00B8633C"/>
    <w:rsid w:val="00B92664"/>
    <w:rsid w:val="00B95911"/>
    <w:rsid w:val="00B95F20"/>
    <w:rsid w:val="00B971E3"/>
    <w:rsid w:val="00B97916"/>
    <w:rsid w:val="00B9792A"/>
    <w:rsid w:val="00BA1E62"/>
    <w:rsid w:val="00BA5A6E"/>
    <w:rsid w:val="00BA5D79"/>
    <w:rsid w:val="00BA76C6"/>
    <w:rsid w:val="00BB01A3"/>
    <w:rsid w:val="00BB4118"/>
    <w:rsid w:val="00BB5EDD"/>
    <w:rsid w:val="00BC0F46"/>
    <w:rsid w:val="00BC226D"/>
    <w:rsid w:val="00BC3384"/>
    <w:rsid w:val="00BC3544"/>
    <w:rsid w:val="00BC5393"/>
    <w:rsid w:val="00BC657F"/>
    <w:rsid w:val="00BC72A9"/>
    <w:rsid w:val="00BD1211"/>
    <w:rsid w:val="00BD319D"/>
    <w:rsid w:val="00BD3C59"/>
    <w:rsid w:val="00BD6FF4"/>
    <w:rsid w:val="00BE11C5"/>
    <w:rsid w:val="00BE1F48"/>
    <w:rsid w:val="00BE3E54"/>
    <w:rsid w:val="00BE400D"/>
    <w:rsid w:val="00BE4415"/>
    <w:rsid w:val="00BE500A"/>
    <w:rsid w:val="00BE6FD9"/>
    <w:rsid w:val="00BF0B7E"/>
    <w:rsid w:val="00BF2962"/>
    <w:rsid w:val="00BF5D02"/>
    <w:rsid w:val="00BF7790"/>
    <w:rsid w:val="00C02089"/>
    <w:rsid w:val="00C04189"/>
    <w:rsid w:val="00C049D5"/>
    <w:rsid w:val="00C05481"/>
    <w:rsid w:val="00C072A8"/>
    <w:rsid w:val="00C1174A"/>
    <w:rsid w:val="00C12D05"/>
    <w:rsid w:val="00C132FD"/>
    <w:rsid w:val="00C13B46"/>
    <w:rsid w:val="00C14310"/>
    <w:rsid w:val="00C143A4"/>
    <w:rsid w:val="00C15AB6"/>
    <w:rsid w:val="00C15AEC"/>
    <w:rsid w:val="00C16581"/>
    <w:rsid w:val="00C16C96"/>
    <w:rsid w:val="00C172FA"/>
    <w:rsid w:val="00C22272"/>
    <w:rsid w:val="00C239FA"/>
    <w:rsid w:val="00C23C36"/>
    <w:rsid w:val="00C25766"/>
    <w:rsid w:val="00C27897"/>
    <w:rsid w:val="00C27ADF"/>
    <w:rsid w:val="00C30930"/>
    <w:rsid w:val="00C33808"/>
    <w:rsid w:val="00C3431B"/>
    <w:rsid w:val="00C35585"/>
    <w:rsid w:val="00C36018"/>
    <w:rsid w:val="00C37CF3"/>
    <w:rsid w:val="00C405D1"/>
    <w:rsid w:val="00C42C49"/>
    <w:rsid w:val="00C4467D"/>
    <w:rsid w:val="00C44BF5"/>
    <w:rsid w:val="00C456A3"/>
    <w:rsid w:val="00C45B16"/>
    <w:rsid w:val="00C46215"/>
    <w:rsid w:val="00C4773E"/>
    <w:rsid w:val="00C51288"/>
    <w:rsid w:val="00C516B4"/>
    <w:rsid w:val="00C51E3D"/>
    <w:rsid w:val="00C52188"/>
    <w:rsid w:val="00C53233"/>
    <w:rsid w:val="00C53758"/>
    <w:rsid w:val="00C570E3"/>
    <w:rsid w:val="00C57C8B"/>
    <w:rsid w:val="00C60E0C"/>
    <w:rsid w:val="00C60E5A"/>
    <w:rsid w:val="00C63986"/>
    <w:rsid w:val="00C7150D"/>
    <w:rsid w:val="00C73EBC"/>
    <w:rsid w:val="00C7436D"/>
    <w:rsid w:val="00C806B2"/>
    <w:rsid w:val="00C81695"/>
    <w:rsid w:val="00C81D35"/>
    <w:rsid w:val="00C867CB"/>
    <w:rsid w:val="00C8735F"/>
    <w:rsid w:val="00C9135B"/>
    <w:rsid w:val="00C91F3B"/>
    <w:rsid w:val="00C92B01"/>
    <w:rsid w:val="00C9456C"/>
    <w:rsid w:val="00C95F65"/>
    <w:rsid w:val="00CA06B1"/>
    <w:rsid w:val="00CA07C8"/>
    <w:rsid w:val="00CA0F83"/>
    <w:rsid w:val="00CA1D1D"/>
    <w:rsid w:val="00CA3225"/>
    <w:rsid w:val="00CA41A9"/>
    <w:rsid w:val="00CA5837"/>
    <w:rsid w:val="00CA585C"/>
    <w:rsid w:val="00CA6016"/>
    <w:rsid w:val="00CA636E"/>
    <w:rsid w:val="00CA6D91"/>
    <w:rsid w:val="00CA7975"/>
    <w:rsid w:val="00CB00EF"/>
    <w:rsid w:val="00CB16B9"/>
    <w:rsid w:val="00CB3F93"/>
    <w:rsid w:val="00CB6126"/>
    <w:rsid w:val="00CC0D54"/>
    <w:rsid w:val="00CC5351"/>
    <w:rsid w:val="00CC63E9"/>
    <w:rsid w:val="00CC651A"/>
    <w:rsid w:val="00CD1C3D"/>
    <w:rsid w:val="00CD2DCA"/>
    <w:rsid w:val="00CD2E24"/>
    <w:rsid w:val="00CE0225"/>
    <w:rsid w:val="00CE0569"/>
    <w:rsid w:val="00CE125E"/>
    <w:rsid w:val="00CE3341"/>
    <w:rsid w:val="00CE3C04"/>
    <w:rsid w:val="00CF4BE7"/>
    <w:rsid w:val="00CF5EA3"/>
    <w:rsid w:val="00CF6DBF"/>
    <w:rsid w:val="00CF6F5D"/>
    <w:rsid w:val="00D01943"/>
    <w:rsid w:val="00D0567B"/>
    <w:rsid w:val="00D13850"/>
    <w:rsid w:val="00D14771"/>
    <w:rsid w:val="00D14DE0"/>
    <w:rsid w:val="00D153A1"/>
    <w:rsid w:val="00D17ABD"/>
    <w:rsid w:val="00D2203A"/>
    <w:rsid w:val="00D2263D"/>
    <w:rsid w:val="00D2314D"/>
    <w:rsid w:val="00D23846"/>
    <w:rsid w:val="00D23AC2"/>
    <w:rsid w:val="00D242F4"/>
    <w:rsid w:val="00D26687"/>
    <w:rsid w:val="00D30F71"/>
    <w:rsid w:val="00D311D1"/>
    <w:rsid w:val="00D3162E"/>
    <w:rsid w:val="00D358D8"/>
    <w:rsid w:val="00D370F9"/>
    <w:rsid w:val="00D406B9"/>
    <w:rsid w:val="00D42367"/>
    <w:rsid w:val="00D42661"/>
    <w:rsid w:val="00D4468C"/>
    <w:rsid w:val="00D44BE1"/>
    <w:rsid w:val="00D462CB"/>
    <w:rsid w:val="00D478A4"/>
    <w:rsid w:val="00D47E09"/>
    <w:rsid w:val="00D50654"/>
    <w:rsid w:val="00D50F41"/>
    <w:rsid w:val="00D5269F"/>
    <w:rsid w:val="00D53BC6"/>
    <w:rsid w:val="00D57B79"/>
    <w:rsid w:val="00D60DF6"/>
    <w:rsid w:val="00D65607"/>
    <w:rsid w:val="00D65F82"/>
    <w:rsid w:val="00D66A33"/>
    <w:rsid w:val="00D7019F"/>
    <w:rsid w:val="00D7071E"/>
    <w:rsid w:val="00D71039"/>
    <w:rsid w:val="00D74053"/>
    <w:rsid w:val="00D75B1E"/>
    <w:rsid w:val="00D77042"/>
    <w:rsid w:val="00D773E7"/>
    <w:rsid w:val="00D813E8"/>
    <w:rsid w:val="00D84182"/>
    <w:rsid w:val="00D9039C"/>
    <w:rsid w:val="00D905D3"/>
    <w:rsid w:val="00D90A8A"/>
    <w:rsid w:val="00D921A3"/>
    <w:rsid w:val="00D92380"/>
    <w:rsid w:val="00D93AB5"/>
    <w:rsid w:val="00D93C60"/>
    <w:rsid w:val="00D9400C"/>
    <w:rsid w:val="00D94F1B"/>
    <w:rsid w:val="00D964BF"/>
    <w:rsid w:val="00D97002"/>
    <w:rsid w:val="00DA17CE"/>
    <w:rsid w:val="00DA2D41"/>
    <w:rsid w:val="00DA4836"/>
    <w:rsid w:val="00DA72CC"/>
    <w:rsid w:val="00DB0244"/>
    <w:rsid w:val="00DB06FE"/>
    <w:rsid w:val="00DB0AF5"/>
    <w:rsid w:val="00DB2C11"/>
    <w:rsid w:val="00DB2FA3"/>
    <w:rsid w:val="00DB4E1F"/>
    <w:rsid w:val="00DC32E0"/>
    <w:rsid w:val="00DC38BE"/>
    <w:rsid w:val="00DC3C03"/>
    <w:rsid w:val="00DC4165"/>
    <w:rsid w:val="00DC4D6F"/>
    <w:rsid w:val="00DC51AA"/>
    <w:rsid w:val="00DD0B82"/>
    <w:rsid w:val="00DD1CC3"/>
    <w:rsid w:val="00DD1E18"/>
    <w:rsid w:val="00DD2456"/>
    <w:rsid w:val="00DD55FB"/>
    <w:rsid w:val="00DD6962"/>
    <w:rsid w:val="00DE0328"/>
    <w:rsid w:val="00DE37E3"/>
    <w:rsid w:val="00DE454F"/>
    <w:rsid w:val="00DE4E8E"/>
    <w:rsid w:val="00DE6E65"/>
    <w:rsid w:val="00DF210A"/>
    <w:rsid w:val="00DF348B"/>
    <w:rsid w:val="00DF41AD"/>
    <w:rsid w:val="00DF777A"/>
    <w:rsid w:val="00E00F87"/>
    <w:rsid w:val="00E03203"/>
    <w:rsid w:val="00E03562"/>
    <w:rsid w:val="00E037C4"/>
    <w:rsid w:val="00E1209A"/>
    <w:rsid w:val="00E12A7F"/>
    <w:rsid w:val="00E1389A"/>
    <w:rsid w:val="00E145D8"/>
    <w:rsid w:val="00E16F4C"/>
    <w:rsid w:val="00E2039C"/>
    <w:rsid w:val="00E21A11"/>
    <w:rsid w:val="00E2266F"/>
    <w:rsid w:val="00E2594A"/>
    <w:rsid w:val="00E3057A"/>
    <w:rsid w:val="00E31A7C"/>
    <w:rsid w:val="00E35083"/>
    <w:rsid w:val="00E37016"/>
    <w:rsid w:val="00E4122E"/>
    <w:rsid w:val="00E43194"/>
    <w:rsid w:val="00E4402A"/>
    <w:rsid w:val="00E4557C"/>
    <w:rsid w:val="00E4677F"/>
    <w:rsid w:val="00E5201D"/>
    <w:rsid w:val="00E53575"/>
    <w:rsid w:val="00E54516"/>
    <w:rsid w:val="00E558D7"/>
    <w:rsid w:val="00E568C8"/>
    <w:rsid w:val="00E56B8F"/>
    <w:rsid w:val="00E6152D"/>
    <w:rsid w:val="00E61B64"/>
    <w:rsid w:val="00E637D5"/>
    <w:rsid w:val="00E655CE"/>
    <w:rsid w:val="00E66017"/>
    <w:rsid w:val="00E66B56"/>
    <w:rsid w:val="00E7159A"/>
    <w:rsid w:val="00E718E0"/>
    <w:rsid w:val="00E7254F"/>
    <w:rsid w:val="00E76F66"/>
    <w:rsid w:val="00E7752F"/>
    <w:rsid w:val="00E82BDB"/>
    <w:rsid w:val="00E84275"/>
    <w:rsid w:val="00E845F1"/>
    <w:rsid w:val="00E84665"/>
    <w:rsid w:val="00E84B72"/>
    <w:rsid w:val="00E864E2"/>
    <w:rsid w:val="00E9797C"/>
    <w:rsid w:val="00EA0B02"/>
    <w:rsid w:val="00EA2E71"/>
    <w:rsid w:val="00EA45DB"/>
    <w:rsid w:val="00EA56E0"/>
    <w:rsid w:val="00EA5D35"/>
    <w:rsid w:val="00EA7000"/>
    <w:rsid w:val="00EA7BD2"/>
    <w:rsid w:val="00EB125D"/>
    <w:rsid w:val="00EB213B"/>
    <w:rsid w:val="00EB2C1F"/>
    <w:rsid w:val="00EB57FD"/>
    <w:rsid w:val="00EB7985"/>
    <w:rsid w:val="00EC06AD"/>
    <w:rsid w:val="00EC2DB8"/>
    <w:rsid w:val="00EC3AC5"/>
    <w:rsid w:val="00EC4B7D"/>
    <w:rsid w:val="00EC4F6C"/>
    <w:rsid w:val="00EC5B97"/>
    <w:rsid w:val="00EC5FE5"/>
    <w:rsid w:val="00EC6153"/>
    <w:rsid w:val="00ED4760"/>
    <w:rsid w:val="00ED6A70"/>
    <w:rsid w:val="00EE1668"/>
    <w:rsid w:val="00EE1F48"/>
    <w:rsid w:val="00EE3687"/>
    <w:rsid w:val="00EE64C6"/>
    <w:rsid w:val="00EE71B4"/>
    <w:rsid w:val="00EF0AE9"/>
    <w:rsid w:val="00EF3904"/>
    <w:rsid w:val="00EF3F1B"/>
    <w:rsid w:val="00EF551C"/>
    <w:rsid w:val="00EF680B"/>
    <w:rsid w:val="00F02648"/>
    <w:rsid w:val="00F044F9"/>
    <w:rsid w:val="00F075F4"/>
    <w:rsid w:val="00F11300"/>
    <w:rsid w:val="00F11E88"/>
    <w:rsid w:val="00F16740"/>
    <w:rsid w:val="00F20DD9"/>
    <w:rsid w:val="00F239B6"/>
    <w:rsid w:val="00F240FD"/>
    <w:rsid w:val="00F24AF3"/>
    <w:rsid w:val="00F259F2"/>
    <w:rsid w:val="00F30D72"/>
    <w:rsid w:val="00F33DD6"/>
    <w:rsid w:val="00F3452C"/>
    <w:rsid w:val="00F34924"/>
    <w:rsid w:val="00F37383"/>
    <w:rsid w:val="00F41BFB"/>
    <w:rsid w:val="00F52645"/>
    <w:rsid w:val="00F52E26"/>
    <w:rsid w:val="00F53446"/>
    <w:rsid w:val="00F53F07"/>
    <w:rsid w:val="00F548CE"/>
    <w:rsid w:val="00F56FDC"/>
    <w:rsid w:val="00F62ADB"/>
    <w:rsid w:val="00F64A40"/>
    <w:rsid w:val="00F66619"/>
    <w:rsid w:val="00F67EE3"/>
    <w:rsid w:val="00F70150"/>
    <w:rsid w:val="00F70306"/>
    <w:rsid w:val="00F72915"/>
    <w:rsid w:val="00F73D6C"/>
    <w:rsid w:val="00F75CE0"/>
    <w:rsid w:val="00F777C0"/>
    <w:rsid w:val="00F77EAB"/>
    <w:rsid w:val="00F80B69"/>
    <w:rsid w:val="00F815A3"/>
    <w:rsid w:val="00F817F9"/>
    <w:rsid w:val="00F83C57"/>
    <w:rsid w:val="00F83D33"/>
    <w:rsid w:val="00F850BE"/>
    <w:rsid w:val="00F854A6"/>
    <w:rsid w:val="00F8560F"/>
    <w:rsid w:val="00F86CF4"/>
    <w:rsid w:val="00F86E8D"/>
    <w:rsid w:val="00F87C4D"/>
    <w:rsid w:val="00F9356A"/>
    <w:rsid w:val="00F97B1B"/>
    <w:rsid w:val="00FA323F"/>
    <w:rsid w:val="00FA3CF5"/>
    <w:rsid w:val="00FA4AFC"/>
    <w:rsid w:val="00FA5FFA"/>
    <w:rsid w:val="00FB1705"/>
    <w:rsid w:val="00FB2194"/>
    <w:rsid w:val="00FB2C76"/>
    <w:rsid w:val="00FC13B0"/>
    <w:rsid w:val="00FC28DD"/>
    <w:rsid w:val="00FC4275"/>
    <w:rsid w:val="00FC5B71"/>
    <w:rsid w:val="00FC79D8"/>
    <w:rsid w:val="00FD2063"/>
    <w:rsid w:val="00FD23D8"/>
    <w:rsid w:val="00FD3F06"/>
    <w:rsid w:val="00FD62D7"/>
    <w:rsid w:val="00FD7500"/>
    <w:rsid w:val="00FE2EC7"/>
    <w:rsid w:val="00FE4E0E"/>
    <w:rsid w:val="00FE5EE7"/>
    <w:rsid w:val="00FE71A3"/>
    <w:rsid w:val="00FF045F"/>
    <w:rsid w:val="00FF35AD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FF0E7"/>
  <w15:docId w15:val="{07029719-3ACF-4038-A159-841CBF12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70F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1"/>
    <w:qFormat/>
    <w:rsid w:val="004B476A"/>
    <w:pPr>
      <w:ind w:left="720"/>
      <w:contextualSpacing/>
    </w:pPr>
  </w:style>
  <w:style w:type="paragraph" w:customStyle="1" w:styleId="dou-paragraph">
    <w:name w:val="dou-paragraph"/>
    <w:basedOn w:val="Normal"/>
    <w:rsid w:val="00F349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74728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4728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8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Clara1">
    <w:name w:val="Tabela de Grade Clara1"/>
    <w:basedOn w:val="Tabelanormal"/>
    <w:uiPriority w:val="40"/>
    <w:rsid w:val="000360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4477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771D"/>
  </w:style>
  <w:style w:type="paragraph" w:styleId="Rodap">
    <w:name w:val="footer"/>
    <w:basedOn w:val="Normal"/>
    <w:link w:val="RodapChar"/>
    <w:uiPriority w:val="99"/>
    <w:unhideWhenUsed/>
    <w:rsid w:val="00345E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5EFB"/>
  </w:style>
  <w:style w:type="character" w:customStyle="1" w:styleId="Ttulo1Char">
    <w:name w:val="Título 1 Char"/>
    <w:basedOn w:val="Fontepargpadro"/>
    <w:link w:val="Ttulo1"/>
    <w:uiPriority w:val="9"/>
    <w:rsid w:val="00F24AF3"/>
    <w:rPr>
      <w:b/>
      <w:sz w:val="48"/>
      <w:szCs w:val="48"/>
    </w:rPr>
  </w:style>
  <w:style w:type="paragraph" w:styleId="Corpodetexto">
    <w:name w:val="Body Text"/>
    <w:basedOn w:val="Normal"/>
    <w:link w:val="CorpodetextoChar"/>
    <w:uiPriority w:val="1"/>
    <w:qFormat/>
    <w:rsid w:val="00F24AF3"/>
    <w:pPr>
      <w:widowControl w:val="0"/>
      <w:autoSpaceDE w:val="0"/>
      <w:autoSpaceDN w:val="0"/>
      <w:ind w:left="1277"/>
      <w:jc w:val="left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24AF3"/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F24AF3"/>
    <w:pPr>
      <w:widowControl w:val="0"/>
      <w:autoSpaceDE w:val="0"/>
      <w:autoSpaceDN w:val="0"/>
      <w:spacing w:line="234" w:lineRule="exact"/>
      <w:ind w:left="69"/>
      <w:jc w:val="left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table" w:customStyle="1" w:styleId="SimplesTabela11">
    <w:name w:val="Simples Tabela 11"/>
    <w:basedOn w:val="Tabelanormal"/>
    <w:uiPriority w:val="41"/>
    <w:rsid w:val="00F77EA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F77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audf.gov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duR44r1Xn+6oPxvOczqSkhucw==">AMUW2mUBE9Ovsf6HFzNOE2b8mVJaG4E5o7jwaLbNixKZGkHoJNTbLx3PQ4P2hJ7k/snI4H2E7AVOvE12fGxRWhsWAPAzMowZiHjwpzQu2yZj7RP4MFfMS6E=</go:docsCustomData>
</go:gDocsCustomXmlDataStorage>
</file>

<file path=customXml/itemProps1.xml><?xml version="1.0" encoding="utf-8"?>
<ds:datastoreItem xmlns:ds="http://schemas.openxmlformats.org/officeDocument/2006/customXml" ds:itemID="{D59A8240-5FF1-492B-9D5E-DB865E20FB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832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arquiteto</dc:creator>
  <cp:lastModifiedBy>CAU/DF</cp:lastModifiedBy>
  <cp:revision>21</cp:revision>
  <cp:lastPrinted>2023-02-10T19:08:00Z</cp:lastPrinted>
  <dcterms:created xsi:type="dcterms:W3CDTF">2023-02-09T15:23:00Z</dcterms:created>
  <dcterms:modified xsi:type="dcterms:W3CDTF">2023-02-17T11:38:00Z</dcterms:modified>
</cp:coreProperties>
</file>