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DAAD7C1" w:rsidR="00D957BC" w:rsidRPr="00074CE2" w:rsidRDefault="00AC5860" w:rsidP="007A0A9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7A0A9C">
              <w:rPr>
                <w:rFonts w:eastAsia="Calibri"/>
                <w:bCs/>
                <w:sz w:val="22"/>
                <w:szCs w:val="22"/>
              </w:rPr>
              <w:t>4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A0A9C">
              <w:rPr>
                <w:rFonts w:eastAsia="Calibri"/>
                <w:bCs/>
                <w:sz w:val="22"/>
                <w:szCs w:val="22"/>
              </w:rPr>
              <w:t>junho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2F9C4B2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304BF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C2090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BE2C4E" w:rsidRPr="00D52A69" w14:paraId="7FFBF750" w14:textId="77777777" w:rsidTr="00846864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F016F3" w14:textId="77777777" w:rsidR="00BE2C4E" w:rsidRPr="00AC6238" w:rsidRDefault="00BE2C4E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CAD1C81" w14:textId="09FBF31A" w:rsidR="00BE2C4E" w:rsidRPr="00CC2090" w:rsidRDefault="00BE2C4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Júlia </w:t>
            </w:r>
            <w:r w:rsidR="002304BF">
              <w:rPr>
                <w:rFonts w:cs="Arial"/>
                <w:sz w:val="22"/>
                <w:szCs w:val="22"/>
                <w:shd w:val="clear" w:color="auto" w:fill="FFFFFF"/>
              </w:rPr>
              <w:t>Teixeira 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B4B7F" w14:textId="098E7FEE" w:rsidR="00BE2C4E" w:rsidRPr="00B51733" w:rsidRDefault="00F21AD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521CCE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724A4A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BB727E0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B719E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B719E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CB719E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B719E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B719E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CB719E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CB719E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CB719E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CB719E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CB719E">
              <w:rPr>
                <w:rFonts w:eastAsia="Calibri"/>
                <w:bCs/>
                <w:sz w:val="22"/>
                <w:szCs w:val="22"/>
              </w:rPr>
              <w:t xml:space="preserve">A conselheira Júlia Teixeira Fernandes </w:t>
            </w:r>
            <w:r w:rsidR="005455CC" w:rsidRPr="00CB719E">
              <w:rPr>
                <w:rFonts w:eastAsia="Calibri"/>
                <w:b/>
                <w:sz w:val="22"/>
                <w:szCs w:val="22"/>
              </w:rPr>
              <w:t>não justificou 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B719E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B719E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B719E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B719E">
              <w:rPr>
                <w:rFonts w:eastAsia="Calibri"/>
                <w:sz w:val="22"/>
                <w:szCs w:val="22"/>
              </w:rPr>
              <w:t>sem</w:t>
            </w:r>
            <w:r w:rsidR="00DE2D42" w:rsidRPr="00CB719E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B719E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27F28D6" w14:textId="77777777" w:rsidR="008B35AD" w:rsidRDefault="008B35A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00454FF6" w:rsidR="00C40227" w:rsidRPr="00EB34A3" w:rsidRDefault="007A0A9C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Posicionamento EaD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13460A6" w14:textId="0A7CC395" w:rsidR="00C36D31" w:rsidRDefault="003060FB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A c</w:t>
            </w:r>
            <w:r w:rsidR="00BE2C4E">
              <w:rPr>
                <w:rFonts w:eastAsia="Verdana"/>
                <w:sz w:val="22"/>
                <w:szCs w:val="22"/>
              </w:rPr>
              <w:t>ons</w:t>
            </w:r>
            <w:r>
              <w:rPr>
                <w:rFonts w:eastAsia="Verdana"/>
                <w:sz w:val="22"/>
                <w:szCs w:val="22"/>
              </w:rPr>
              <w:t>elheira</w:t>
            </w:r>
            <w:r w:rsidR="00BE2C4E">
              <w:rPr>
                <w:rFonts w:eastAsia="Verdana"/>
                <w:sz w:val="22"/>
                <w:szCs w:val="22"/>
              </w:rPr>
              <w:t xml:space="preserve"> Larissa</w:t>
            </w:r>
            <w:r>
              <w:rPr>
                <w:rFonts w:eastAsia="Verdana"/>
                <w:sz w:val="22"/>
                <w:szCs w:val="22"/>
              </w:rPr>
              <w:t xml:space="preserve"> de Aguiar Cayres</w:t>
            </w:r>
            <w:r w:rsidR="00BE2C4E">
              <w:rPr>
                <w:rFonts w:eastAsia="Verdana"/>
                <w:sz w:val="22"/>
                <w:szCs w:val="22"/>
              </w:rPr>
              <w:t xml:space="preserve"> elaborou e apresentou uma minuta de deliberação acerca do posicionamento da CEF-CAU/DF sobre o registro de egressos oriundos de cursos de arquitetura e urbanismo oferecidos no formato de Ensino </w:t>
            </w:r>
            <w:r>
              <w:rPr>
                <w:rFonts w:eastAsia="Verdana"/>
                <w:sz w:val="22"/>
                <w:szCs w:val="22"/>
              </w:rPr>
              <w:t>à</w:t>
            </w:r>
            <w:r w:rsidR="00BE2C4E">
              <w:rPr>
                <w:rFonts w:eastAsia="Verdana"/>
                <w:sz w:val="22"/>
                <w:szCs w:val="22"/>
              </w:rPr>
              <w:t xml:space="preserve"> Distância – EaD</w:t>
            </w:r>
            <w:r>
              <w:rPr>
                <w:rFonts w:eastAsia="Verdana"/>
                <w:sz w:val="22"/>
                <w:szCs w:val="22"/>
              </w:rPr>
              <w:t xml:space="preserve"> ou no formato híbrido (presencial e EaD)</w:t>
            </w:r>
            <w:r w:rsidR="00BE2C4E">
              <w:rPr>
                <w:rFonts w:eastAsia="Verdana"/>
                <w:sz w:val="22"/>
                <w:szCs w:val="22"/>
              </w:rPr>
              <w:t>.</w:t>
            </w:r>
            <w:r>
              <w:rPr>
                <w:rFonts w:eastAsia="Verdana"/>
                <w:sz w:val="22"/>
                <w:szCs w:val="22"/>
              </w:rPr>
              <w:t xml:space="preserve"> Após debate sobre o tema, a CEF decidiu pela aprovação da </w:t>
            </w:r>
            <w:r>
              <w:rPr>
                <w:rFonts w:eastAsia="Verdana"/>
                <w:b/>
                <w:bCs/>
                <w:sz w:val="22"/>
                <w:szCs w:val="22"/>
              </w:rPr>
              <w:t xml:space="preserve">Deliberação n.º </w:t>
            </w:r>
            <w:r w:rsidR="00BC1869">
              <w:rPr>
                <w:rFonts w:eastAsia="Verdana"/>
                <w:b/>
                <w:bCs/>
                <w:sz w:val="22"/>
                <w:szCs w:val="22"/>
              </w:rPr>
              <w:t>012</w:t>
            </w:r>
            <w:r>
              <w:rPr>
                <w:rFonts w:eastAsia="Verdana"/>
                <w:b/>
                <w:bCs/>
                <w:sz w:val="22"/>
                <w:szCs w:val="22"/>
              </w:rPr>
              <w:t>/2022 – CEF-CAU/DF</w:t>
            </w:r>
            <w:r w:rsidR="00DB3965">
              <w:rPr>
                <w:rFonts w:eastAsia="Verdana"/>
                <w:sz w:val="22"/>
                <w:szCs w:val="22"/>
              </w:rPr>
              <w:t>, que delibera:</w:t>
            </w:r>
          </w:p>
          <w:p w14:paraId="0FCF5EB1" w14:textId="77777777" w:rsidR="00DB3965" w:rsidRDefault="00DB3965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</w:p>
          <w:p w14:paraId="12739693" w14:textId="4AD71AC6" w:rsidR="00DB3965" w:rsidRDefault="00DB3965" w:rsidP="00DB396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Reiterar o posicionamento da CEF-CAU/DF de que a formação profissional de Arquitetura e Urbanismo a nível de graduação deve priorizar o ensino presencial, quando muito os 20% na modalidade semipresencial, EaD ou híbrida, conforme Portaria do MEC n. 2.253/2001. A Portaria n. 2.117/2019 do MEC, que amplia para 40% da carga horária dos cursos presenciais podendo ser semipresencial encaminha os cursos presenciais para o EaD ou Híbrido e por isso a CEF_CAU/DF se posiciona contra essas mudanças e permissibilidade, principalmente por exigir análises mais profundas a</w:t>
            </w:r>
            <w:r>
              <w:rPr>
                <w:rFonts w:eastAsia="Verdana"/>
                <w:sz w:val="22"/>
                <w:szCs w:val="22"/>
              </w:rPr>
              <w:t>c</w:t>
            </w:r>
            <w:r w:rsidRPr="00DB3965">
              <w:rPr>
                <w:rFonts w:eastAsia="Verdana"/>
                <w:sz w:val="22"/>
                <w:szCs w:val="22"/>
              </w:rPr>
              <w:t>erca dos efeitos no exercício e na prática profissional, responsabilidade legal e objetivo primário da atuação deste Conselho;</w:t>
            </w:r>
          </w:p>
          <w:p w14:paraId="392AEF3A" w14:textId="77777777" w:rsidR="00DB3965" w:rsidRPr="00DB3965" w:rsidRDefault="00DB3965" w:rsidP="00DB3965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eastAsia="Verdana"/>
                <w:sz w:val="22"/>
                <w:szCs w:val="22"/>
              </w:rPr>
            </w:pPr>
          </w:p>
          <w:p w14:paraId="77644D68" w14:textId="77777777" w:rsidR="00DB3965" w:rsidRPr="00DB3965" w:rsidRDefault="00DB3965" w:rsidP="00DB396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 xml:space="preserve">Determinar a devida instrução aos setores técnicos do CAU/DF quanto aos processos de registros de egressos de cursos de Arquitetura e Urbanismo na modalidade de Ensino à Distância ou Híbrida, na forma do art. 7º da Resolução do CAU/BR n. 18/2012, esclarecendo que estarão aptos para envio à CEF-CAU/DF, para parecer final e aprovação, os cursos que atenderem aos seguintes </w:t>
            </w:r>
            <w:r w:rsidRPr="00DB3965">
              <w:rPr>
                <w:rFonts w:eastAsia="Verdana"/>
                <w:sz w:val="22"/>
                <w:szCs w:val="22"/>
              </w:rPr>
              <w:lastRenderedPageBreak/>
              <w:t>requisitos mínimos:</w:t>
            </w:r>
          </w:p>
          <w:p w14:paraId="5DFA7DF9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Possuir Portaria de Reconhecimento ou Renovação de Reconhecimento do curso, emitida pelo MEC e publicada em meio oficial, na forma do art. 6, inciso II, da Lei n. 12.378/2010;</w:t>
            </w:r>
          </w:p>
          <w:p w14:paraId="6DBFA893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Apresentar Projeto Pedagógico do Curso que atenda às exigências elencadas pelas Diretrizes Curriculares Nacionais de Arquitetura e Urbanismo (DCN), consoantes Resolução n. 2/2010 do Conselho Nacional de Educação (Câmara de Educação Superior), na forma do art. 3º da Lei n. 12.378/2010;</w:t>
            </w:r>
          </w:p>
          <w:p w14:paraId="6CB2F78D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Apresentar comprovante de inscrição dos egressos no Exame Nacional de Desempenho dos Estudantes (ENADE), conforme determina o art. 47, §3º c.c art. 55 caput e parágrafo único da Portaria Normativa n. 840/2018 do MEC;</w:t>
            </w:r>
          </w:p>
          <w:p w14:paraId="28CFC8A5" w14:textId="3F2860FB" w:rsid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A CEF-CAU/DF deve acompanhar periodicamente andamento do tema junto à CEF-CAU/BR;</w:t>
            </w:r>
          </w:p>
          <w:p w14:paraId="0B1D6004" w14:textId="77777777" w:rsidR="00DB3965" w:rsidRPr="00DB3965" w:rsidRDefault="00DB3965" w:rsidP="00DB3965">
            <w:pPr>
              <w:autoSpaceDE w:val="0"/>
              <w:autoSpaceDN w:val="0"/>
              <w:adjustRightInd w:val="0"/>
              <w:spacing w:line="276" w:lineRule="auto"/>
              <w:ind w:left="1440"/>
              <w:jc w:val="both"/>
              <w:rPr>
                <w:rFonts w:eastAsia="Verdana"/>
                <w:sz w:val="22"/>
                <w:szCs w:val="22"/>
              </w:rPr>
            </w:pPr>
          </w:p>
          <w:p w14:paraId="4651357D" w14:textId="77777777" w:rsidR="00DB3965" w:rsidRPr="00DB3965" w:rsidRDefault="00DB3965" w:rsidP="00DB396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Estabelecer critérios para abertura de processo de registro profissional para egressos de cursos de arquitetura e urbanismo oferecidos no formato “educação à distância” ou “híbrida”, no âmbito do CAU/DF, conforme detalhamento abaixo:</w:t>
            </w:r>
          </w:p>
          <w:p w14:paraId="347DC431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Determinar que a partir do recebimento da solicitação de registro, o CAU/DF deverá solicitar à Instituição de Ensino, a comprovação da avaliação in loco realizada pelo INEP, com parecer preliminar;</w:t>
            </w:r>
          </w:p>
          <w:p w14:paraId="57DC6617" w14:textId="00F94356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A CEF-CAU/DF realizará análise e emissão de parecer acerca do Projeto Pedagógico de Curso com base nas Diretrizes Curriculares Nacionais de Arquitetura e Urbanismo (DCN) e do histórico escolar do egresso, e se pronunciará quanto aos efeitos nas atribuições e no exercício profissional;</w:t>
            </w:r>
          </w:p>
          <w:p w14:paraId="3D455579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Reportar à CEF-CAU/BR ausências ou descumprimento das etapas acima;</w:t>
            </w:r>
          </w:p>
          <w:p w14:paraId="27ECE9FC" w14:textId="77777777" w:rsidR="00DB3965" w:rsidRP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Reportar à CEF-CAU/BR, na medida do conhecimento, da existência de vagas autorizadas para cursos que se servem das ferramentas de ensino à distância acima dos 20% na modalidade semipresencial, definidos pela Portaria do MEC n. 2.253/2001;</w:t>
            </w:r>
          </w:p>
          <w:p w14:paraId="46D93905" w14:textId="3BAE1448" w:rsidR="00DB3965" w:rsidRDefault="00DB3965" w:rsidP="00DB3965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B3965">
              <w:rPr>
                <w:rFonts w:eastAsia="Verdana"/>
                <w:sz w:val="22"/>
                <w:szCs w:val="22"/>
              </w:rPr>
              <w:t>Após o cumprimento dos itens acima, o processo estará apto para análise das documentações dos egressos constantes no art. 5º da Resolução CAU/BR n. 18/2012 e encaminhamento à CEF-CAU/DF para parecer final;</w:t>
            </w:r>
          </w:p>
          <w:p w14:paraId="204CE9DF" w14:textId="77777777" w:rsidR="00DB3965" w:rsidRPr="00BC1869" w:rsidRDefault="00DB3965" w:rsidP="00DB3965">
            <w:pPr>
              <w:autoSpaceDE w:val="0"/>
              <w:autoSpaceDN w:val="0"/>
              <w:adjustRightInd w:val="0"/>
              <w:spacing w:line="276" w:lineRule="auto"/>
              <w:ind w:left="1440"/>
              <w:jc w:val="both"/>
              <w:rPr>
                <w:rFonts w:eastAsia="Verdana"/>
                <w:sz w:val="22"/>
                <w:szCs w:val="22"/>
              </w:rPr>
            </w:pPr>
          </w:p>
          <w:p w14:paraId="50F17784" w14:textId="77777777" w:rsidR="00DB3965" w:rsidRPr="00BC1869" w:rsidRDefault="00DB3965" w:rsidP="00DB3965">
            <w:pPr>
              <w:pStyle w:val="Pargrafoda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C1869">
              <w:rPr>
                <w:rFonts w:eastAsia="Verdana"/>
                <w:sz w:val="22"/>
                <w:szCs w:val="22"/>
              </w:rPr>
              <w:t xml:space="preserve">Encaminhar </w:t>
            </w:r>
            <w:r w:rsidR="00BC1869" w:rsidRPr="00BC1869">
              <w:rPr>
                <w:sz w:val="22"/>
                <w:szCs w:val="22"/>
                <w:shd w:val="clear" w:color="auto" w:fill="FFFFFF"/>
                <w:lang w:bidi="he-IL"/>
              </w:rPr>
              <w:t xml:space="preserve">a presente deliberação para apreciação no Plenário do </w:t>
            </w:r>
            <w:r w:rsidR="00BC1869" w:rsidRPr="00BC1869">
              <w:rPr>
                <w:sz w:val="22"/>
                <w:szCs w:val="22"/>
                <w:shd w:val="clear" w:color="auto" w:fill="FFFFFF"/>
                <w:lang w:bidi="he-IL"/>
              </w:rPr>
              <w:lastRenderedPageBreak/>
              <w:t>CAU/DF</w:t>
            </w:r>
            <w:r w:rsidRPr="00BC1869">
              <w:rPr>
                <w:rFonts w:eastAsia="Verdana"/>
                <w:sz w:val="22"/>
                <w:szCs w:val="22"/>
              </w:rPr>
              <w:t>;</w:t>
            </w:r>
          </w:p>
          <w:p w14:paraId="386EDC86" w14:textId="4B7B4EA2" w:rsidR="00BC1869" w:rsidRPr="00DB3965" w:rsidRDefault="00BC1869" w:rsidP="00DB3965">
            <w:pPr>
              <w:pStyle w:val="Pargrafoda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C1869">
              <w:rPr>
                <w:sz w:val="22"/>
                <w:szCs w:val="22"/>
                <w:shd w:val="clear" w:color="auto" w:fill="FFFFFF"/>
                <w:lang w:bidi="he-IL"/>
              </w:rPr>
              <w:t>Após apreciação no Plenário do CAU/DF, envio ao CAU/BR e aos CAU/UF, visando dar conhecimento aos demais, quanto aos procedimentos adotados pela CEF-CAU/DF</w:t>
            </w:r>
            <w:r w:rsidRPr="00BC1869">
              <w:rPr>
                <w:sz w:val="22"/>
                <w:szCs w:val="22"/>
                <w:shd w:val="clear" w:color="auto" w:fill="FFFFFF"/>
                <w:lang w:bidi="he-IL"/>
              </w:rPr>
              <w:t>;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B4884B0" w:rsidR="00D17123" w:rsidRPr="007D3A46" w:rsidRDefault="00BC1869" w:rsidP="003965B0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181CF" w14:textId="77777777" w:rsidR="00EA01CD" w:rsidRDefault="00EA01CD" w:rsidP="00C65095">
      <w:r>
        <w:separator/>
      </w:r>
    </w:p>
  </w:endnote>
  <w:endnote w:type="continuationSeparator" w:id="0">
    <w:p w14:paraId="2303F454" w14:textId="77777777" w:rsidR="00EA01CD" w:rsidRDefault="00EA01CD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4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4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E4162" w14:textId="77777777" w:rsidR="00EA01CD" w:rsidRDefault="00EA01CD" w:rsidP="00C65095">
      <w:r>
        <w:separator/>
      </w:r>
    </w:p>
  </w:footnote>
  <w:footnote w:type="continuationSeparator" w:id="0">
    <w:p w14:paraId="4CE06357" w14:textId="77777777" w:rsidR="00EA01CD" w:rsidRDefault="00EA01CD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1821523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54C4CC2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304BF">
      <w:rPr>
        <w:rFonts w:ascii="Times New Roman" w:hAnsi="Times New Roman"/>
        <w:sz w:val="21"/>
        <w:szCs w:val="21"/>
      </w:rPr>
      <w:t>2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7A0A9C">
      <w:rPr>
        <w:rFonts w:ascii="Times New Roman" w:hAnsi="Times New Roman"/>
        <w:sz w:val="21"/>
        <w:szCs w:val="21"/>
      </w:rPr>
      <w:t>EXTRA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36389"/>
    <w:multiLevelType w:val="hybridMultilevel"/>
    <w:tmpl w:val="2948F3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267086">
    <w:abstractNumId w:val="2"/>
  </w:num>
  <w:num w:numId="2" w16cid:durableId="1444299944">
    <w:abstractNumId w:val="6"/>
  </w:num>
  <w:num w:numId="3" w16cid:durableId="1065108318">
    <w:abstractNumId w:val="14"/>
  </w:num>
  <w:num w:numId="4" w16cid:durableId="137840619">
    <w:abstractNumId w:val="15"/>
  </w:num>
  <w:num w:numId="5" w16cid:durableId="1293973326">
    <w:abstractNumId w:val="11"/>
  </w:num>
  <w:num w:numId="6" w16cid:durableId="426734538">
    <w:abstractNumId w:val="13"/>
  </w:num>
  <w:num w:numId="7" w16cid:durableId="394164319">
    <w:abstractNumId w:val="12"/>
  </w:num>
  <w:num w:numId="8" w16cid:durableId="405810167">
    <w:abstractNumId w:val="17"/>
  </w:num>
  <w:num w:numId="9" w16cid:durableId="1637250360">
    <w:abstractNumId w:val="1"/>
  </w:num>
  <w:num w:numId="10" w16cid:durableId="1261648195">
    <w:abstractNumId w:val="9"/>
  </w:num>
  <w:num w:numId="11" w16cid:durableId="168254175">
    <w:abstractNumId w:val="0"/>
  </w:num>
  <w:num w:numId="12" w16cid:durableId="17490357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02397345">
    <w:abstractNumId w:val="5"/>
  </w:num>
  <w:num w:numId="14" w16cid:durableId="996497496">
    <w:abstractNumId w:val="10"/>
  </w:num>
  <w:num w:numId="15" w16cid:durableId="1371569024">
    <w:abstractNumId w:val="4"/>
  </w:num>
  <w:num w:numId="16" w16cid:durableId="827327227">
    <w:abstractNumId w:val="16"/>
  </w:num>
  <w:num w:numId="17" w16cid:durableId="368991545">
    <w:abstractNumId w:val="3"/>
  </w:num>
  <w:num w:numId="18" w16cid:durableId="621621004">
    <w:abstractNumId w:val="7"/>
  </w:num>
  <w:num w:numId="19" w16cid:durableId="14232588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4BF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0FB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3BE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D8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A37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35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0A9C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338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860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869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C4E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9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090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47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65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1CD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1AD0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6A87B-957E-4F41-907C-838A051A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3</Pages>
  <Words>742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231</cp:revision>
  <cp:lastPrinted>2019-08-01T21:08:00Z</cp:lastPrinted>
  <dcterms:created xsi:type="dcterms:W3CDTF">2020-05-06T17:36:00Z</dcterms:created>
  <dcterms:modified xsi:type="dcterms:W3CDTF">2022-07-02T00:14:00Z</dcterms:modified>
</cp:coreProperties>
</file>