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0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3"/>
        <w:gridCol w:w="6814"/>
      </w:tblGrid>
      <w:tr>
        <w:trPr>
          <w:trHeight w:val="563" w:hRule="atLeast"/>
        </w:trPr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widowControl w:val="false"/>
              <w:ind w:right="113" w:hanging="0"/>
              <w:rPr>
                <w:color w:val="000000"/>
              </w:rPr>
            </w:pPr>
            <w:r>
              <w:rPr>
                <w:color w:val="000000"/>
              </w:rPr>
              <w:t>PROCESSO Nº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2780" w:leader="none"/>
              </w:tabs>
              <w:suppressAutoHyphens w:val="true"/>
              <w:spacing w:lineRule="auto" w:line="360" w:before="0" w:afterAutospacing="0" w:after="0"/>
              <w:ind w:right="113" w:hanging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cs="Times New Roman"/>
                <w:b w:val="false"/>
                <w:bCs w:val="false"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4"/>
                <w:szCs w:val="24"/>
                <w:lang w:val="pt-BR" w:eastAsia="pt-BR" w:bidi="ar-SA"/>
              </w:rPr>
              <w:t>1230924/2021</w:t>
            </w:r>
          </w:p>
        </w:tc>
      </w:tr>
      <w:tr>
        <w:trPr/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widowControl w:val="false"/>
              <w:ind w:right="113" w:hanging="0"/>
              <w:rPr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59" w:beforeAutospacing="0" w:before="0" w:afterAutospacing="0" w:after="0"/>
              <w:ind w:left="0" w:right="113" w:hanging="0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val="pt-BR" w:eastAsia="pt-BR" w:bidi="ar-SA"/>
              </w:rPr>
              <w:t>Cláudia Regina Tavares de Campos Braga</w:t>
            </w:r>
          </w:p>
        </w:tc>
      </w:tr>
      <w:tr>
        <w:trPr>
          <w:trHeight w:val="94" w:hRule="atLeast"/>
        </w:trPr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widowControl w:val="false"/>
              <w:ind w:right="113" w:hanging="0"/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pacing w:lineRule="exact" w:line="244" w:before="4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highlight w:val="white"/>
                <w:lang w:val="pt-BR" w:eastAsia="en-US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highlight w:val="white"/>
                <w:lang w:val="pt-BR" w:eastAsia="en-US" w:bidi="ar-SA"/>
              </w:rPr>
              <w:t>SOLICITAÇÃO DE ISENÇÃO DE COBRANÇA DE ANUIDADE POR MOTIVO DE DOENÇA GRAVE</w:t>
            </w:r>
          </w:p>
        </w:tc>
      </w:tr>
    </w:tbl>
    <w:p>
      <w:pPr>
        <w:pStyle w:val="Cabealho"/>
        <w:ind w:right="113" w:hanging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39"/>
      </w:tblGrid>
      <w:tr>
        <w:trPr/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color="auto" w:fill="F2F2F2" w:themeFill="background1" w:themeFillShade="f2" w:val="clear"/>
          </w:tcPr>
          <w:p>
            <w:pPr>
              <w:pStyle w:val="Cabealho"/>
              <w:widowControl w:val="false"/>
              <w:ind w:right="113" w:hanging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DELIBERAÇÃO Nº 00</w:t>
            </w: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en-US" w:bidi="ar-SA"/>
              </w:rPr>
              <w:t>3</w:t>
            </w:r>
            <w:r>
              <w:rPr>
                <w:b/>
                <w:bCs/>
                <w:sz w:val="24"/>
                <w:szCs w:val="24"/>
              </w:rPr>
              <w:t>/202</w:t>
            </w: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en-US" w:bidi="ar-SA"/>
              </w:rPr>
              <w:t>1</w:t>
            </w:r>
            <w:r>
              <w:rPr>
                <w:b/>
                <w:bCs/>
                <w:sz w:val="24"/>
                <w:szCs w:val="24"/>
              </w:rPr>
              <w:t xml:space="preserve"> – CAF-CAU/DF</w:t>
            </w:r>
          </w:p>
        </w:tc>
      </w:tr>
    </w:tbl>
    <w:p>
      <w:pPr>
        <w:pStyle w:val="Cabealho"/>
        <w:tabs>
          <w:tab w:val="clear" w:pos="8640"/>
          <w:tab w:val="center" w:pos="4320" w:leader="none"/>
          <w:tab w:val="left" w:pos="4962" w:leader="none"/>
          <w:tab w:val="right" w:pos="8647" w:leader="none"/>
        </w:tabs>
        <w:ind w:right="113" w:hanging="0"/>
        <w:rPr>
          <w:sz w:val="24"/>
          <w:szCs w:val="24"/>
        </w:rPr>
      </w:pPr>
      <w:r>
        <w:rPr>
          <w:sz w:val="24"/>
          <w:szCs w:val="24"/>
        </w:rPr>
        <w:tab/>
        <w:tab/>
      </w:r>
    </w:p>
    <w:p>
      <w:pPr>
        <w:pStyle w:val="Normal"/>
        <w:ind w:right="113" w:hanging="0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pt-BR"/>
        </w:rPr>
        <w:t>A COMISSÃO DE ADMINISTRAÇÃO, PLANEJAMENTO E FINANÇAS do Conselho de Arquitetura e Urbanismo do Distrito Federal – CAF-CAU/DF reunida ordinariamente por meio de videoconferência, no dia 12 de abril de 2021, após análise do assunto em epígrafe, e</w:t>
      </w:r>
      <w:r>
        <w:rPr>
          <w:rFonts w:eastAsia="Times New Roman" w:cs="Times New Roman"/>
          <w:sz w:val="24"/>
          <w:szCs w:val="24"/>
        </w:rPr>
        <w:t xml:space="preserve"> </w:t>
      </w:r>
    </w:p>
    <w:p>
      <w:pPr>
        <w:pStyle w:val="Normal"/>
        <w:ind w:right="113" w:hanging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</w:r>
    </w:p>
    <w:p>
      <w:pPr>
        <w:pStyle w:val="Corpodotexto"/>
        <w:ind w:right="227" w:hanging="0"/>
        <w:jc w:val="both"/>
        <w:rPr>
          <w:sz w:val="24"/>
          <w:szCs w:val="24"/>
        </w:rPr>
      </w:pPr>
      <w:r>
        <w:rPr>
          <w:rFonts w:eastAsia="Verdana" w:cs="Times New Roman"/>
          <w:sz w:val="24"/>
          <w:szCs w:val="24"/>
          <w:lang w:val="pt-BR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>
      <w:pPr>
        <w:pStyle w:val="Corpodotexto"/>
        <w:spacing w:before="0" w:after="0"/>
        <w:ind w:left="0" w:right="0" w:hanging="0"/>
        <w:rPr>
          <w:sz w:val="24"/>
          <w:szCs w:val="24"/>
        </w:rPr>
      </w:pPr>
      <w:r>
        <w:rPr/>
        <w:t> </w:t>
      </w:r>
    </w:p>
    <w:p>
      <w:pPr>
        <w:pStyle w:val="Corpodotexto"/>
        <w:spacing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lang w:val="pt-BR"/>
        </w:rPr>
        <w:t xml:space="preserve">Considerando que a arquiteta e urbanista Cláudia Regina Tavares de Campos Braga solicitou a isenção do </w:t>
      </w:r>
      <w:r>
        <w:rPr>
          <w:sz w:val="24"/>
          <w:szCs w:val="24"/>
        </w:rPr>
        <w:t>pagamento da anuidade referente ao ano de 2021, alegando ter sido acometida por doença grave especificada em Lei e com isenção pela Receita Federal;</w:t>
      </w:r>
    </w:p>
    <w:p>
      <w:pPr>
        <w:pStyle w:val="Corpodotexto"/>
        <w:spacing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Corpodotexto"/>
        <w:spacing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Considerando o voto do conselheiro relator, Nelton Ket</w:t>
      </w:r>
      <w:r>
        <w:rPr>
          <w:rFonts w:eastAsia="Times New Roman" w:cs="Times New Roman"/>
          <w:color w:val="auto"/>
          <w:kern w:val="0"/>
          <w:sz w:val="24"/>
          <w:szCs w:val="24"/>
          <w:lang w:val="pt-BR" w:eastAsia="pt-BR" w:bidi="ar-SA"/>
        </w:rPr>
        <w:t xml:space="preserve">i </w:t>
      </w:r>
      <w:r>
        <w:rPr>
          <w:sz w:val="24"/>
          <w:szCs w:val="24"/>
        </w:rPr>
        <w:t>Borges, pelo: “</w:t>
      </w:r>
      <w:r>
        <w:rPr>
          <w:rFonts w:eastAsia="MS Mincho" w:cs="Calibri" w:cstheme="minorHAnsi"/>
          <w:sz w:val="24"/>
          <w:szCs w:val="24"/>
        </w:rPr>
        <w:t>deferimento</w:t>
      </w:r>
      <w:r>
        <w:rPr>
          <w:rFonts w:cs="Calibri" w:cstheme="minorHAnsi"/>
          <w:sz w:val="24"/>
          <w:szCs w:val="24"/>
        </w:rPr>
        <w:t xml:space="preserve"> da solicitação da requerente.” </w:t>
      </w:r>
    </w:p>
    <w:p>
      <w:pPr>
        <w:pStyle w:val="Normal"/>
        <w:ind w:right="227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113" w:hanging="0"/>
        <w:rPr>
          <w:rFonts w:eastAsia="Verdana"/>
          <w:b/>
          <w:b/>
        </w:rPr>
      </w:pPr>
      <w:r>
        <w:rPr>
          <w:rFonts w:eastAsia="Verdana"/>
          <w:b/>
          <w:sz w:val="24"/>
          <w:szCs w:val="24"/>
        </w:rPr>
        <w:t>DELIBERA:</w:t>
      </w:r>
    </w:p>
    <w:p>
      <w:pPr>
        <w:pStyle w:val="Normal"/>
        <w:ind w:right="113" w:hanging="0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rFonts w:eastAsia="Times New Roman" w:cs="Times New Roman"/>
          <w:b w:val="false"/>
          <w:bCs w:val="false"/>
          <w:sz w:val="24"/>
          <w:szCs w:val="24"/>
          <w:lang w:val="pt-BR"/>
        </w:rPr>
        <w:t xml:space="preserve">1 – </w:t>
      </w: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 xml:space="preserve">Pelo cancelamento do débito, arquivamento do presente processo de cobrança e por orientar a profissional requisitante </w:t>
      </w: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>sobre o disposto no art. 2º, inciso VII, alíneas “a” e “b” d</w:t>
      </w: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>a</w:t>
      </w: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 xml:space="preserve"> Resolução nº 134, de 17 de fevereiro de 2017, que determina:</w:t>
      </w:r>
    </w:p>
    <w:p>
      <w:pPr>
        <w:pStyle w:val="Normal"/>
        <w:jc w:val="both"/>
        <w:rPr>
          <w:sz w:val="24"/>
          <w:szCs w:val="24"/>
        </w:rPr>
      </w:pPr>
      <w:r>
        <w:rPr/>
      </w:r>
    </w:p>
    <w:p>
      <w:pPr>
        <w:pStyle w:val="Normal"/>
        <w:ind w:left="2160" w:hanging="0"/>
        <w:jc w:val="both"/>
        <w:rPr>
          <w:sz w:val="20"/>
          <w:szCs w:val="20"/>
        </w:rPr>
      </w:pPr>
      <w:r>
        <w:rPr>
          <w:rFonts w:eastAsia="Verdana" w:cs="Times New Roman"/>
          <w:b w:val="false"/>
          <w:bCs w:val="false"/>
          <w:color w:val="auto"/>
          <w:kern w:val="0"/>
          <w:sz w:val="20"/>
          <w:szCs w:val="20"/>
          <w:lang w:val="pt-BR" w:eastAsia="zh-CN" w:bidi="ar-SA"/>
        </w:rPr>
        <w:t>“</w:t>
      </w:r>
      <w:r>
        <w:rPr>
          <w:rFonts w:eastAsia="Verdana" w:cs="Times New Roman"/>
          <w:b w:val="false"/>
          <w:bCs w:val="false"/>
          <w:color w:val="auto"/>
          <w:kern w:val="0"/>
          <w:sz w:val="20"/>
          <w:szCs w:val="20"/>
          <w:lang w:val="pt-BR" w:eastAsia="zh-CN" w:bidi="ar-SA"/>
        </w:rPr>
        <w:t>a) para efeito de reconhecimento de isenção, a doença deve ser comprovada mediante laudo pericial emitido por serviço de saúde oficial da União, dos Estados, do Distrito Federal ou de Município, devendo ser fixado o prazo de validade do laudo pericial, no caso de doenças passíveis de controle;</w:t>
        <w:br/>
        <w:br/>
        <w:t>b) a isenção será válida enquanto perdurar o estado de doença, devendo a comprovação, descrita na alínea “a”, ser feita anualmente pelo profissional inscrito até a efetiva cura;”.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113" w:hanging="0"/>
        <w:rPr>
          <w:sz w:val="24"/>
          <w:szCs w:val="24"/>
        </w:rPr>
      </w:pPr>
      <w:r>
        <w:rPr>
          <w:sz w:val="24"/>
          <w:szCs w:val="24"/>
        </w:rPr>
        <w:t>Com</w:t>
      </w:r>
      <w:r>
        <w:rPr>
          <w:b/>
          <w:sz w:val="24"/>
          <w:szCs w:val="24"/>
        </w:rPr>
        <w:t xml:space="preserve"> </w:t>
      </w:r>
      <w:r>
        <w:rPr>
          <w:rFonts w:eastAsia="Calibri" w:cs="Times New Roman"/>
          <w:b/>
          <w:color w:val="auto"/>
          <w:kern w:val="0"/>
          <w:sz w:val="24"/>
          <w:szCs w:val="24"/>
          <w:lang w:val="pt-BR" w:eastAsia="en-US" w:bidi="ar-SA"/>
        </w:rPr>
        <w:t>4</w:t>
      </w:r>
      <w:r>
        <w:rPr>
          <w:sz w:val="24"/>
          <w:szCs w:val="24"/>
        </w:rPr>
        <w:t xml:space="preserve"> votos favoráveis, 0 voto contrário e 0 abstenção.</w:t>
      </w:r>
    </w:p>
    <w:p>
      <w:pPr>
        <w:pStyle w:val="Normal"/>
        <w:widowControl w:val="false"/>
        <w:ind w:right="227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113" w:hanging="0"/>
        <w:jc w:val="center"/>
        <w:rPr>
          <w:sz w:val="24"/>
          <w:szCs w:val="24"/>
        </w:rPr>
      </w:pPr>
      <w:r>
        <w:rPr>
          <w:rFonts w:eastAsia="Verdana"/>
          <w:sz w:val="24"/>
          <w:szCs w:val="24"/>
        </w:rPr>
        <w:t>Brasília/DF, 12 de abril de 202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1</w:t>
      </w:r>
      <w:r>
        <w:rPr>
          <w:rFonts w:eastAsia="Verdana"/>
          <w:sz w:val="24"/>
          <w:szCs w:val="24"/>
        </w:rPr>
        <w:t>.</w:t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rPr/>
      </w:pPr>
      <w:r>
        <w:rPr/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rPr/>
      </w:pPr>
      <w:r>
        <w:rPr/>
        <w:t xml:space="preserve">Considerando a conjuntura epidemiológica e reuniões deliberativas virtuais decorrentes, </w:t>
      </w:r>
      <w:r>
        <w:rPr>
          <w:b/>
        </w:rPr>
        <w:t>atesto a veracidade e a autenticidade das informações prestadas</w:t>
      </w:r>
      <w:r>
        <w:rPr/>
        <w:t xml:space="preserve">.  </w:t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left"/>
        <w:rPr/>
      </w:pPr>
      <w:r>
        <w:rPr/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center"/>
        <w:rPr/>
      </w:pPr>
      <w:r>
        <w:rPr/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center"/>
        <w:rPr>
          <w:b/>
          <w:b/>
        </w:rPr>
      </w:pPr>
      <w:r>
        <w:rPr>
          <w:b/>
        </w:rPr>
        <w:t>Nelton Keti Borges</w:t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center"/>
        <w:rPr/>
      </w:pPr>
      <w:r>
        <w:rPr/>
        <w:t xml:space="preserve">Coordenador da CAF-CAU/DF    </w:t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b/>
          <w:b/>
        </w:rPr>
      </w:pPr>
      <w:r>
        <w:rPr>
          <w:rFonts w:eastAsia="NSimSun" w:cs="Lucida Sans"/>
          <w:b/>
          <w:color w:val="auto"/>
          <w:kern w:val="0"/>
          <w:sz w:val="24"/>
          <w:szCs w:val="24"/>
          <w:lang w:val="pt-BR" w:eastAsia="zh-CN" w:bidi="hi-IN"/>
        </w:rPr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/>
      </w:pPr>
      <w:r>
        <w:rPr>
          <w:rFonts w:eastAsia="NSimSun" w:cs="Lucida Sans"/>
          <w:b/>
          <w:color w:val="auto"/>
          <w:kern w:val="0"/>
          <w:sz w:val="24"/>
          <w:szCs w:val="24"/>
          <w:lang w:val="pt-BR" w:eastAsia="zh-CN" w:bidi="hi-IN"/>
        </w:rPr>
        <w:t>3</w:t>
      </w:r>
      <w:r>
        <w:rPr>
          <w:b/>
        </w:rPr>
        <w:t>ª REUNIÃO ORDINÁRIA DA CAF-CAU/DF</w:t>
      </w:r>
      <w:r>
        <w:rPr/>
        <w:t xml:space="preserve">  </w:t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b/>
          <w:b/>
        </w:rPr>
      </w:pPr>
      <w:r>
        <w:rPr/>
        <w:t xml:space="preserve">Videoconferência </w:t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b/>
          <w:b/>
        </w:rPr>
      </w:pPr>
      <w:r>
        <w:rPr>
          <w:b/>
        </w:rPr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/>
      </w:pPr>
      <w:r>
        <w:rPr>
          <w:b/>
        </w:rPr>
        <w:t>Folha de Votação</w:t>
      </w:r>
      <w:r>
        <w:rPr/>
        <w:t xml:space="preserve">  </w:t>
      </w:r>
    </w:p>
    <w:tbl>
      <w:tblPr>
        <w:tblStyle w:val="Table3"/>
        <w:tblW w:w="9074" w:type="dxa"/>
        <w:jc w:val="left"/>
        <w:tblInd w:w="6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600"/>
      </w:tblPr>
      <w:tblGrid>
        <w:gridCol w:w="1528"/>
        <w:gridCol w:w="1274"/>
        <w:gridCol w:w="3528"/>
        <w:gridCol w:w="658"/>
        <w:gridCol w:w="663"/>
        <w:gridCol w:w="735"/>
        <w:gridCol w:w="687"/>
      </w:tblGrid>
      <w:tr>
        <w:trPr>
          <w:trHeight w:val="330" w:hRule="atLeast"/>
        </w:trPr>
        <w:tc>
          <w:tcPr>
            <w:tcW w:w="28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Função</w:t>
            </w:r>
          </w:p>
        </w:tc>
        <w:tc>
          <w:tcPr>
            <w:tcW w:w="3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Conselheiro</w:t>
            </w:r>
          </w:p>
        </w:tc>
        <w:tc>
          <w:tcPr>
            <w:tcW w:w="27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Votação</w:t>
            </w:r>
          </w:p>
        </w:tc>
      </w:tr>
      <w:tr>
        <w:trPr>
          <w:trHeight w:val="630" w:hRule="atLeast"/>
        </w:trPr>
        <w:tc>
          <w:tcPr>
            <w:tcW w:w="2802" w:type="dxa"/>
            <w:gridSpan w:val="2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352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Sim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40" w:hanging="0"/>
              <w:jc w:val="center"/>
              <w:rPr/>
            </w:pPr>
            <w:r>
              <w:rPr>
                <w:b/>
              </w:rPr>
              <w:t>Não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Abst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Ausên</w:t>
            </w:r>
          </w:p>
        </w:tc>
      </w:tr>
      <w:tr>
        <w:trPr>
          <w:trHeight w:val="645" w:hRule="atLeast"/>
        </w:trPr>
        <w:tc>
          <w:tcPr>
            <w:tcW w:w="2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Coordenador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Nelton Keti Borges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x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2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  <w:t>Coordenador-adjunto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Luis Fernando Zeferino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x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2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  <w:t>Membro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Jéssica Costa Spehar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x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280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  <w:t>Membro em titularidade</w:t>
            </w:r>
          </w:p>
        </w:tc>
        <w:tc>
          <w:tcPr>
            <w:tcW w:w="35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Luiz Caio Avila Diniz</w:t>
            </w:r>
          </w:p>
        </w:tc>
        <w:tc>
          <w:tcPr>
            <w:tcW w:w="6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6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6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x</w:t>
            </w:r>
          </w:p>
        </w:tc>
      </w:tr>
      <w:tr>
        <w:trPr>
          <w:trHeight w:val="645" w:hRule="atLeast"/>
        </w:trPr>
        <w:tc>
          <w:tcPr>
            <w:tcW w:w="2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  <w:t>Membro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Pedro de Almeida Grilo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x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1528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</w:r>
          </w:p>
        </w:tc>
        <w:tc>
          <w:tcPr>
            <w:tcW w:w="1274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</w:r>
          </w:p>
        </w:tc>
        <w:tc>
          <w:tcPr>
            <w:tcW w:w="3528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</w:r>
          </w:p>
        </w:tc>
        <w:tc>
          <w:tcPr>
            <w:tcW w:w="658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</w:r>
          </w:p>
        </w:tc>
        <w:tc>
          <w:tcPr>
            <w:tcW w:w="663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</w:r>
          </w:p>
        </w:tc>
        <w:tc>
          <w:tcPr>
            <w:tcW w:w="687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</w:r>
          </w:p>
        </w:tc>
      </w:tr>
      <w:tr>
        <w:trPr>
          <w:trHeight w:val="3180" w:hRule="atLeast"/>
        </w:trPr>
        <w:tc>
          <w:tcPr>
            <w:tcW w:w="90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808080"/>
              <w:right w:val="single" w:sz="6" w:space="0" w:color="808080"/>
            </w:tcBorders>
            <w:shd w:fill="D9D9FF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>Histórico da votação: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3</w:t>
            </w:r>
            <w:r>
              <w:rPr>
                <w:b/>
              </w:rPr>
              <w:t>ª REUNIÃO ORDINÁRIA DA CAF-CAU/DF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>Data:</w:t>
            </w:r>
            <w:r>
              <w:rPr/>
              <w:t xml:space="preserve">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12</w:t>
            </w:r>
            <w:r>
              <w:rPr/>
              <w:t>/0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4</w:t>
            </w:r>
            <w:r>
              <w:rPr/>
              <w:t>/2021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>Matéria em votação:</w:t>
            </w:r>
            <w:r>
              <w:rPr/>
              <w:t xml:space="preserve">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RELATO DE PROCESSOS DE SOLICITAÇÃO DE ISENÇÃO DE ANUIDADES.</w:t>
            </w:r>
            <w:r>
              <w:rPr/>
              <w:t xml:space="preserve"> </w:t>
            </w:r>
            <w:r>
              <w:rPr>
                <w:b/>
              </w:rPr>
              <w:t>Resultado da votação: Sim</w:t>
            </w:r>
            <w:r>
              <w:rPr/>
              <w:t xml:space="preserve"> (0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4</w:t>
            </w:r>
            <w:r>
              <w:rPr/>
              <w:t xml:space="preserve">) </w:t>
            </w:r>
            <w:r>
              <w:rPr>
                <w:b/>
              </w:rPr>
              <w:t>Não</w:t>
            </w:r>
            <w:r>
              <w:rPr/>
              <w:t xml:space="preserve"> (XX) </w:t>
            </w:r>
            <w:r>
              <w:rPr>
                <w:b/>
              </w:rPr>
              <w:t>Abstenções</w:t>
            </w:r>
            <w:r>
              <w:rPr/>
              <w:t xml:space="preserve"> (XX) </w:t>
            </w:r>
            <w:r>
              <w:rPr>
                <w:b/>
              </w:rPr>
              <w:t>Ausências</w:t>
            </w:r>
            <w:r>
              <w:rPr/>
              <w:t xml:space="preserve"> (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01</w:t>
            </w:r>
            <w:r>
              <w:rPr/>
              <w:t xml:space="preserve">), </w:t>
            </w:r>
            <w:r>
              <w:rPr>
                <w:b/>
              </w:rPr>
              <w:t xml:space="preserve">Total </w:t>
            </w:r>
            <w:r>
              <w:rPr/>
              <w:t>(0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5</w:t>
            </w:r>
            <w:r>
              <w:rPr/>
              <w:t>).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>Ocorrências</w:t>
            </w:r>
            <w:r>
              <w:rPr/>
              <w:t>: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 xml:space="preserve">Secretariado: Juliana Severo dos Santos   </w:t>
              <w:br/>
              <w:t>Condutor dos trabalhos (</w:t>
            </w:r>
            <w:r>
              <w:rPr/>
              <w:t>coordenador</w:t>
            </w:r>
            <w:r>
              <w:rPr>
                <w:b/>
              </w:rPr>
              <w:t>):</w:t>
            </w:r>
            <w:r>
              <w:rPr/>
              <w:t xml:space="preserve"> </w:t>
            </w:r>
            <w:r>
              <w:rPr>
                <w:b/>
              </w:rPr>
              <w:t>Nelton Keti Borges</w:t>
            </w:r>
          </w:p>
        </w:tc>
      </w:tr>
    </w:tbl>
    <w:p>
      <w:pPr>
        <w:pStyle w:val="LOnormal"/>
        <w:tabs>
          <w:tab w:val="clear" w:pos="720"/>
          <w:tab w:val="left" w:pos="1077" w:leader="none"/>
        </w:tabs>
        <w:spacing w:lineRule="auto" w:line="276"/>
        <w:ind w:right="417" w:hanging="0"/>
        <w:rPr/>
      </w:pPr>
      <w:r>
        <w:rPr/>
      </w:r>
    </w:p>
    <w:p>
      <w:pPr>
        <w:pStyle w:val="LOnormal"/>
        <w:spacing w:lineRule="auto" w:line="312"/>
        <w:ind w:left="142" w:right="142" w:hanging="0"/>
        <w:jc w:val="center"/>
        <w:rPr>
          <w:rFonts w:eastAsia="Verdana"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567" w:top="1701" w:footer="33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behindDoc="1" distT="0" distB="0" distL="0" distR="0" simplePos="0" locked="0" layoutInCell="0" allowOverlap="1" relativeHeight="3" wp14:anchorId="54DFC7D5">
              <wp:simplePos x="0" y="0"/>
              <wp:positionH relativeFrom="margin">
                <wp:posOffset>-8255</wp:posOffset>
              </wp:positionH>
              <wp:positionV relativeFrom="paragraph">
                <wp:posOffset>-46990</wp:posOffset>
              </wp:positionV>
              <wp:extent cx="5737225" cy="12700"/>
              <wp:effectExtent l="0" t="0" r="19050" b="2857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6600" cy="900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65pt,-3.7pt" to="451pt,-3.05pt" ID="Conector reto 3" stroked="t" style="position:absolute;flip:y;mso-position-horizontal-relative:margin" wp14:anchorId="54DFC7D5">
              <v:stroke color="#1c3942" weight="1908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PAGE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2</w:t>
    </w:r>
    <w:r>
      <w:rPr>
        <w:sz w:val="16"/>
        <w:szCs w:val="16"/>
        <w:rFonts w:ascii="DaxCondensed-Regular" w:hAnsi="DaxCondensed-Regular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NUMPAGES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2</w:t>
    </w:r>
    <w:r>
      <w:rPr>
        <w:sz w:val="16"/>
        <w:szCs w:val="16"/>
        <w:rFonts w:ascii="DaxCondensed-Regular" w:hAnsi="DaxCondensed-Regular"/>
      </w:rPr>
      <w:fldChar w:fldCharType="end"/>
    </w:r>
  </w:p>
  <w:p>
    <w:pPr>
      <w:pStyle w:val="Normal"/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>SEP</w:t>
    </w:r>
    <w:r>
      <w:rPr>
        <w:rFonts w:ascii="DaxCondensed-Regular" w:hAnsi="DaxCondensed-Regular"/>
        <w:color w:val="1C3942"/>
        <w:sz w:val="21"/>
        <w:szCs w:val="21"/>
        <w:lang w:eastAsia="en-US"/>
      </w:rPr>
      <w:t>N</w:t>
    </w:r>
    <w:r>
      <w:rPr>
        <w:rFonts w:ascii="DaxCondensed-Regular" w:hAnsi="DaxCondensed-Regular"/>
        <w:color w:val="1C3942"/>
        <w:sz w:val="21"/>
        <w:szCs w:val="21"/>
      </w:rPr>
      <w:t xml:space="preserve"> 510, Bloco “A”, </w:t>
    </w:r>
    <w:r>
      <w:rPr>
        <w:rFonts w:ascii="DaxCondensed-Regular" w:hAnsi="DaxCondensed-Regular"/>
        <w:color w:val="1C3942"/>
        <w:sz w:val="21"/>
        <w:szCs w:val="21"/>
        <w:lang w:eastAsia="en-US"/>
      </w:rPr>
      <w:t>Térreo e Subsolo</w:t>
    </w:r>
    <w:r>
      <w:rPr>
        <w:rFonts w:ascii="DaxCondensed-Regular" w:hAnsi="DaxCondensed-Regular"/>
        <w:color w:val="1C3942"/>
        <w:sz w:val="21"/>
        <w:szCs w:val="21"/>
      </w:rPr>
      <w:t xml:space="preserve">, Asa Norte - CEP 70750-521- Brasília (DF) </w:t>
    </w:r>
  </w:p>
  <w:p>
    <w:pPr>
      <w:pStyle w:val="Normal"/>
      <w:ind w:left="-1701" w:right="-7" w:firstLine="1701"/>
      <w:jc w:val="center"/>
      <w:rPr>
        <w:rFonts w:ascii="DaxCondensed-Regular" w:hAnsi="DaxCondensed-Regular" w:eastAsia="DaxCondensed-Regular" w:cs="DaxCondensed-Regular"/>
        <w:color w:val="1C3942"/>
        <w:sz w:val="18"/>
        <w:szCs w:val="18"/>
      </w:rPr>
    </w:pPr>
    <w:r>
      <w:rPr>
        <w:rFonts w:eastAsia="DaxCondensed-Regular" w:cs="DaxCondensed-Regular" w:ascii="DaxCondensed-Regular" w:hAnsi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eastAsia="DaxCondensed-Regular" w:cs="DaxCondensed-Regular" w:ascii="DaxCondensed-Regular" w:hAnsi="DaxCondensed-Regular"/>
          <w:color w:val="1C3942"/>
          <w:sz w:val="21"/>
          <w:szCs w:val="21"/>
        </w:rPr>
        <w:t>atendimento@caudf.gov.br</w:t>
      </w:r>
    </w:hyperlink>
    <w:r>
      <w:rPr>
        <w:rFonts w:eastAsia="DaxCondensed-Regular" w:cs="DaxCondensed-Regular" w:ascii="DaxCondensed-Regular" w:hAnsi="DaxCondensed-Regular"/>
        <w:color w:val="1C3942"/>
        <w:sz w:val="21"/>
        <w:szCs w:val="21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right="-851" w:hanging="0"/>
      <w:jc w:val="left"/>
      <w:rPr>
        <w:rFonts w:ascii="Arial" w:hAnsi="Arial"/>
        <w:color w:val="1C3942"/>
        <w:sz w:val="22"/>
      </w:rPr>
    </w:pPr>
    <w:r>
      <w:rPr/>
      <w:object>
        <v:shape id="ole_rId1" style="width:453.3pt;height:42.55pt" o:ole="">
          <v:imagedata r:id="rId2" o:title=""/>
        </v:shape>
        <o:OLEObject Type="Embed" ProgID="CorelDraw.Graphic.16" ShapeID="ole_rId1" DrawAspect="Content" ObjectID="_1548065761" r:id="rId1"/>
      </w:object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7adf"/>
    <w:pPr>
      <w:widowControl/>
      <w:suppressAutoHyphens w:val="true"/>
      <w:bidi w:val="0"/>
      <w:spacing w:before="0" w:after="0"/>
      <w:jc w:val="both"/>
    </w:pPr>
    <w:rPr>
      <w:rFonts w:ascii="Times New Roman" w:hAnsi="Times New Roman" w:eastAsia="Calibri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 w:val="true"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 w:val="true"/>
      <w:keepLines/>
      <w:spacing w:before="40" w:after="0"/>
      <w:outlineLvl w:val="6"/>
    </w:pPr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fill="CCCCCC" w:val="clear"/>
      <w:lang w:eastAsia="en-US"/>
    </w:rPr>
  </w:style>
  <w:style w:type="character" w:styleId="Ttulo7Char" w:customStyle="1">
    <w:name w:val="Título 7 Char"/>
    <w:basedOn w:val="DefaultParagraphFont"/>
    <w:link w:val="Ttulo7"/>
    <w:uiPriority w:val="9"/>
    <w:semiHidden/>
    <w:qFormat/>
    <w:rsid w:val="00a55def"/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rsid w:val="00727adf"/>
    <w:pPr/>
    <w:rPr>
      <w:rFonts w:eastAsia="Times New Roman"/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727adf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Normal"/>
    <w:link w:val="RecuodecorpodetextoChar"/>
    <w:rsid w:val="00727adf"/>
    <w:pPr>
      <w:ind w:left="720" w:hanging="0"/>
    </w:pPr>
    <w:rPr>
      <w:rFonts w:eastAsia="Times New Roman"/>
      <w:szCs w:val="20"/>
      <w:lang w:eastAsia="pt-BR"/>
    </w:rPr>
  </w:style>
  <w:style w:type="paragraph" w:styleId="BodyText2">
    <w:name w:val="Body Text 2"/>
    <w:basedOn w:val="Normal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Normal"/>
    <w:link w:val="parag2Char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Ttulododocument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20"/>
        <w:tab w:val="left" w:pos="1560" w:leader="none"/>
      </w:tabs>
      <w:spacing w:lineRule="atLeast" w:line="415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paragraph" w:styleId="PargrafodaLista1" w:customStyle="1">
    <w:name w:val="Parágrafo da Lista1"/>
    <w:basedOn w:val="Normal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Estilo" w:customStyle="1">
    <w:name w:val="Estilo"/>
    <w:qFormat/>
    <w:rsid w:val="00a55def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t-BR" w:eastAsia="pt-BR" w:bidi="ar-SA"/>
    </w:rPr>
  </w:style>
  <w:style w:type="paragraph" w:styleId="Default" w:customStyle="1">
    <w:name w:val="Default"/>
    <w:qFormat/>
    <w:rsid w:val="007c5142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pt-BR" w:bidi="ar-SA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LOnormal">
    <w:name w:val="LO-normal"/>
    <w:qFormat/>
    <w:pPr>
      <w:widowControl/>
      <w:suppressAutoHyphens w:val="true"/>
      <w:bidi w:val="0"/>
      <w:spacing w:before="0" w:after="0"/>
      <w:jc w:val="both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atendimento@caudf.gov.b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LibreOffice/7.0.4.2$Windows_X86_64 LibreOffice_project/dcf040e67528d9187c66b2379df5ea4407429775</Application>
  <AppVersion>15.0000</AppVersion>
  <Pages>2</Pages>
  <Words>428</Words>
  <Characters>2447</Characters>
  <CharactersWithSpaces>2848</CharactersWithSpaces>
  <Paragraphs>56</Paragraphs>
  <Company>CAU/DF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2019-02-11T13:06:00Z</dcterms:created>
  <dc:creator>Anderson Viana</dc:creator>
  <dc:description/>
  <dc:language>pt-BR</dc:language>
  <cp:lastModifiedBy/>
  <cp:lastPrinted>2020-01-15T16:02:00Z</cp:lastPrinted>
  <dcterms:modified xsi:type="dcterms:W3CDTF">2021-04-29T20:19:45Z</dcterms:modified>
  <cp:revision>67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