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D164A4A" w:rsidR="00D8794D" w:rsidRPr="00A07D2B" w:rsidRDefault="00316AB1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CA75AE">
              <w:rPr>
                <w:sz w:val="22"/>
                <w:szCs w:val="22"/>
              </w:rPr>
              <w:t>1192970/2020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67862384" w:rsidR="00D8794D" w:rsidRPr="00A07D2B" w:rsidRDefault="00CA75AE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A75AE">
              <w:rPr>
                <w:sz w:val="22"/>
                <w:szCs w:val="22"/>
              </w:rPr>
              <w:t>GUSTAVO EDUARDO SÁINZ MARQUES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4411FCD8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CA75AE"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7C029A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1EDF02D8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354B5A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</w:t>
      </w:r>
      <w:r w:rsidR="00316AB1">
        <w:rPr>
          <w:rFonts w:eastAsia="Verdana"/>
          <w:sz w:val="22"/>
          <w:szCs w:val="22"/>
        </w:rPr>
        <w:t xml:space="preserve">em videoconferência, </w:t>
      </w:r>
      <w:r w:rsidR="00CA75AE" w:rsidRPr="00CA75AE">
        <w:rPr>
          <w:rFonts w:eastAsia="Verdana"/>
          <w:sz w:val="22"/>
          <w:szCs w:val="22"/>
        </w:rPr>
        <w:t>no dia 03 de agosto de 2021, analisando o processo em epígrafe</w:t>
      </w:r>
      <w:r w:rsidRPr="00A07D2B">
        <w:rPr>
          <w:rFonts w:eastAsia="Verdana"/>
          <w:sz w:val="22"/>
          <w:szCs w:val="22"/>
        </w:rPr>
        <w:t>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0A16D9E2" w:rsidR="00D8794D" w:rsidRDefault="00D8794D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82123E">
        <w:rPr>
          <w:sz w:val="22"/>
          <w:szCs w:val="22"/>
        </w:rPr>
        <w:t>que trata, o presente processo, de solicitação de Registro de Profissional Formado no Exterior, por parte d</w:t>
      </w:r>
      <w:r w:rsidR="00316AB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316AB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CA75AE" w:rsidRPr="00CA75AE">
        <w:rPr>
          <w:sz w:val="22"/>
          <w:szCs w:val="22"/>
        </w:rPr>
        <w:t>Gustavo Eduardo Sáinz Marques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715C4056" w14:textId="7D40C163" w:rsidR="00162F2A" w:rsidRDefault="00162F2A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 w:rsidR="00316AB1">
        <w:rPr>
          <w:sz w:val="22"/>
          <w:szCs w:val="22"/>
        </w:rPr>
        <w:t>o</w:t>
      </w:r>
      <w:r w:rsidRPr="00162F2A">
        <w:rPr>
          <w:sz w:val="22"/>
          <w:szCs w:val="22"/>
        </w:rPr>
        <w:t xml:space="preserve"> </w:t>
      </w:r>
      <w:r>
        <w:rPr>
          <w:sz w:val="22"/>
          <w:szCs w:val="22"/>
        </w:rPr>
        <w:t>requerente</w:t>
      </w:r>
      <w:r w:rsidRPr="00162F2A">
        <w:rPr>
          <w:sz w:val="22"/>
          <w:szCs w:val="22"/>
        </w:rPr>
        <w:t xml:space="preserve"> concluiu seus estudos em Arquitetura e Urbanismo na </w:t>
      </w:r>
      <w:r w:rsidR="00D56329" w:rsidRPr="00D56329">
        <w:rPr>
          <w:sz w:val="22"/>
          <w:szCs w:val="22"/>
        </w:rPr>
        <w:t>Universidad Mayor de San Simon, Cochabamba, Bolívia, com diploma expedido em 21 de abril de 2014. Seu diploma foi revalidado pela Universidade de Brasília, em 19</w:t>
      </w:r>
      <w:r w:rsidR="00D56329">
        <w:rPr>
          <w:sz w:val="22"/>
          <w:szCs w:val="22"/>
        </w:rPr>
        <w:t xml:space="preserve"> de dezembro de </w:t>
      </w:r>
      <w:r w:rsidR="00D56329" w:rsidRPr="00D56329">
        <w:rPr>
          <w:sz w:val="22"/>
          <w:szCs w:val="22"/>
        </w:rPr>
        <w:t>2017</w:t>
      </w:r>
      <w:r>
        <w:rPr>
          <w:sz w:val="22"/>
          <w:szCs w:val="22"/>
        </w:rPr>
        <w:t>;</w:t>
      </w:r>
    </w:p>
    <w:p w14:paraId="5F865B12" w14:textId="77777777" w:rsidR="0082123E" w:rsidRDefault="0082123E" w:rsidP="0082123E">
      <w:pPr>
        <w:rPr>
          <w:sz w:val="22"/>
          <w:szCs w:val="22"/>
        </w:rPr>
      </w:pPr>
    </w:p>
    <w:p w14:paraId="4060BB13" w14:textId="435C21ED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 w:rsidR="00316AB1">
        <w:rPr>
          <w:sz w:val="22"/>
          <w:szCs w:val="22"/>
        </w:rPr>
        <w:t>o</w:t>
      </w:r>
      <w:r>
        <w:rPr>
          <w:sz w:val="22"/>
          <w:szCs w:val="22"/>
        </w:rPr>
        <w:t xml:space="preserve"> interessad</w:t>
      </w:r>
      <w:r w:rsidR="00316AB1">
        <w:rPr>
          <w:sz w:val="22"/>
          <w:szCs w:val="22"/>
        </w:rPr>
        <w:t>o</w:t>
      </w:r>
      <w:r>
        <w:rPr>
          <w:sz w:val="22"/>
          <w:szCs w:val="22"/>
        </w:rPr>
        <w:t xml:space="preserve"> cumpriu com o disposto no Modelo Matricial para </w:t>
      </w:r>
      <w:r w:rsidR="008A7533">
        <w:rPr>
          <w:sz w:val="22"/>
          <w:szCs w:val="22"/>
        </w:rPr>
        <w:t>R</w:t>
      </w:r>
      <w:r>
        <w:rPr>
          <w:sz w:val="22"/>
          <w:szCs w:val="22"/>
        </w:rPr>
        <w:t>equerimento de Registro de Diplomados em IES estrangeira no SICCAU;</w:t>
      </w:r>
    </w:p>
    <w:p w14:paraId="59F59334" w14:textId="77777777" w:rsidR="0082123E" w:rsidRDefault="0082123E" w:rsidP="0082123E">
      <w:pPr>
        <w:rPr>
          <w:sz w:val="22"/>
          <w:szCs w:val="22"/>
        </w:rPr>
      </w:pPr>
    </w:p>
    <w:p w14:paraId="3D1D20C9" w14:textId="7777777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16A46197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D56329">
        <w:rPr>
          <w:sz w:val="22"/>
          <w:szCs w:val="22"/>
        </w:rPr>
        <w:t>o</w:t>
      </w:r>
      <w:r>
        <w:rPr>
          <w:sz w:val="22"/>
          <w:szCs w:val="22"/>
        </w:rPr>
        <w:t xml:space="preserve"> conselhei</w:t>
      </w:r>
      <w:r w:rsidR="008A7533">
        <w:rPr>
          <w:sz w:val="22"/>
          <w:szCs w:val="22"/>
        </w:rPr>
        <w:t>r</w:t>
      </w:r>
      <w:r w:rsidR="00D56329">
        <w:rPr>
          <w:sz w:val="22"/>
          <w:szCs w:val="22"/>
        </w:rPr>
        <w:t>o</w:t>
      </w:r>
      <w:r w:rsidR="008A7533">
        <w:rPr>
          <w:sz w:val="22"/>
          <w:szCs w:val="22"/>
        </w:rPr>
        <w:t xml:space="preserve"> </w:t>
      </w:r>
      <w:r w:rsidR="00D56329">
        <w:rPr>
          <w:sz w:val="22"/>
          <w:szCs w:val="22"/>
        </w:rPr>
        <w:t>Ricardo Reis Meira</w:t>
      </w:r>
      <w:r w:rsidR="00162F2A">
        <w:rPr>
          <w:sz w:val="22"/>
          <w:szCs w:val="22"/>
        </w:rPr>
        <w:t>: “Pelo deferimento do pedido”</w:t>
      </w:r>
      <w:r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074A64F1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CA75AE">
        <w:rPr>
          <w:rFonts w:eastAsia="Verdana"/>
          <w:sz w:val="22"/>
          <w:szCs w:val="22"/>
        </w:rPr>
        <w:t xml:space="preserve">DEFERIMENTO do </w:t>
      </w:r>
      <w:r w:rsidR="0082123E">
        <w:rPr>
          <w:rFonts w:eastAsia="Verdana"/>
          <w:sz w:val="22"/>
          <w:szCs w:val="22"/>
        </w:rPr>
        <w:t>registro d</w:t>
      </w:r>
      <w:r w:rsidR="00CA75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CA75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CA75AE" w:rsidRPr="00CA75AE">
        <w:rPr>
          <w:sz w:val="22"/>
          <w:szCs w:val="22"/>
        </w:rPr>
        <w:t>Gustavo Eduardo Sáinz Marques</w:t>
      </w:r>
      <w:r w:rsidR="00CA75AE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1B2B2AC" w14:textId="3DE2CDB4" w:rsidR="007C029A" w:rsidRDefault="007C029A" w:rsidP="007C029A">
      <w:pPr>
        <w:rPr>
          <w:rFonts w:eastAsia="Verdana"/>
          <w:sz w:val="22"/>
          <w:szCs w:val="22"/>
        </w:rPr>
      </w:pPr>
      <w:r w:rsidRPr="00D748EF">
        <w:rPr>
          <w:rFonts w:eastAsia="Verdana"/>
          <w:sz w:val="22"/>
          <w:szCs w:val="22"/>
        </w:rPr>
        <w:t xml:space="preserve">Com </w:t>
      </w:r>
      <w:r w:rsidRPr="00D748EF">
        <w:rPr>
          <w:rFonts w:eastAsia="Verdana"/>
          <w:b/>
          <w:sz w:val="22"/>
          <w:szCs w:val="22"/>
        </w:rPr>
        <w:t>0</w:t>
      </w:r>
      <w:r>
        <w:rPr>
          <w:rFonts w:eastAsia="Verdana"/>
          <w:b/>
          <w:sz w:val="22"/>
          <w:szCs w:val="22"/>
        </w:rPr>
        <w:t>3</w:t>
      </w:r>
      <w:r w:rsidRPr="00D748EF">
        <w:rPr>
          <w:rFonts w:eastAsia="Verdana"/>
          <w:sz w:val="22"/>
          <w:szCs w:val="22"/>
        </w:rPr>
        <w:t xml:space="preserve"> </w:t>
      </w:r>
      <w:r w:rsidRPr="00D748E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contrário, 0 abstenção e </w:t>
      </w:r>
      <w:r w:rsidRPr="008A7533">
        <w:rPr>
          <w:rFonts w:eastAsia="Verdana"/>
          <w:sz w:val="22"/>
          <w:szCs w:val="22"/>
        </w:rPr>
        <w:t>0 ausências.</w:t>
      </w:r>
    </w:p>
    <w:p w14:paraId="40FA4B41" w14:textId="77777777" w:rsidR="00D56329" w:rsidRPr="00D748EF" w:rsidRDefault="00D56329" w:rsidP="007C029A">
      <w:pPr>
        <w:rPr>
          <w:rFonts w:eastAsia="Verdana"/>
          <w:sz w:val="22"/>
          <w:szCs w:val="22"/>
        </w:rPr>
      </w:pPr>
    </w:p>
    <w:p w14:paraId="4F7D4A9F" w14:textId="77777777" w:rsidR="007C029A" w:rsidRPr="00D748EF" w:rsidRDefault="007C029A" w:rsidP="007C029A">
      <w:pPr>
        <w:rPr>
          <w:rFonts w:eastAsia="Verdana"/>
          <w:sz w:val="22"/>
          <w:szCs w:val="22"/>
        </w:rPr>
      </w:pPr>
    </w:p>
    <w:p w14:paraId="14A4A34F" w14:textId="42D1F431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  <w:r w:rsidRPr="0029196B">
        <w:rPr>
          <w:rFonts w:eastAsia="Verdana"/>
          <w:sz w:val="22"/>
          <w:szCs w:val="22"/>
        </w:rPr>
        <w:t>Brasília – DF, 0</w:t>
      </w:r>
      <w:r w:rsidR="00CA75AE">
        <w:rPr>
          <w:rFonts w:eastAsia="Verdana"/>
          <w:sz w:val="22"/>
          <w:szCs w:val="22"/>
        </w:rPr>
        <w:t>3</w:t>
      </w:r>
      <w:r w:rsidRPr="0029196B">
        <w:rPr>
          <w:rFonts w:eastAsia="Verdana"/>
          <w:sz w:val="22"/>
          <w:szCs w:val="22"/>
        </w:rPr>
        <w:t xml:space="preserve"> de </w:t>
      </w:r>
      <w:r w:rsidR="00CA75AE">
        <w:rPr>
          <w:rFonts w:eastAsia="Verdana"/>
          <w:sz w:val="22"/>
          <w:szCs w:val="22"/>
        </w:rPr>
        <w:t>agosto</w:t>
      </w:r>
      <w:r w:rsidRPr="0029196B">
        <w:rPr>
          <w:rFonts w:eastAsia="Verdana"/>
          <w:sz w:val="22"/>
          <w:szCs w:val="22"/>
        </w:rPr>
        <w:t xml:space="preserve"> de 202</w:t>
      </w:r>
      <w:r>
        <w:rPr>
          <w:rFonts w:eastAsia="Verdana"/>
          <w:sz w:val="22"/>
          <w:szCs w:val="22"/>
        </w:rPr>
        <w:t>1</w:t>
      </w:r>
      <w:r w:rsidRPr="0029196B">
        <w:rPr>
          <w:rFonts w:eastAsia="Verdana"/>
          <w:sz w:val="22"/>
          <w:szCs w:val="22"/>
        </w:rPr>
        <w:t>.</w:t>
      </w:r>
    </w:p>
    <w:p w14:paraId="0B19D69C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794AC807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44E8BEF0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29196B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29196B">
        <w:rPr>
          <w:color w:val="000000" w:themeColor="text1"/>
          <w:sz w:val="22"/>
          <w:szCs w:val="22"/>
        </w:rPr>
        <w:t>.</w:t>
      </w:r>
    </w:p>
    <w:p w14:paraId="2FF1C38C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68E79AD6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182C00CD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B277204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4DF079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00F36E3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>Coordenador da CEF-CAU/DF</w:t>
      </w:r>
    </w:p>
    <w:p w14:paraId="22B96FA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FCC3DD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F2D499" w14:textId="3B408BCA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63F851F" w14:textId="77777777" w:rsidR="00D56329" w:rsidRDefault="00D5632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D2A6DB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4226F05" w14:textId="058CE57D" w:rsidR="007C029A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094C9F5D" w14:textId="77777777" w:rsidR="00CA75AE" w:rsidRDefault="00CA75AE" w:rsidP="007C029A">
      <w:pPr>
        <w:widowControl w:val="0"/>
        <w:shd w:val="clear" w:color="auto" w:fill="FFFFFF" w:themeFill="background1"/>
        <w:spacing w:line="276" w:lineRule="auto"/>
        <w:jc w:val="center"/>
      </w:pPr>
    </w:p>
    <w:p w14:paraId="641F8191" w14:textId="77777777" w:rsidR="00CA75AE" w:rsidRPr="00567FB4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27BA7484" w14:textId="77777777" w:rsidR="00CA75AE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3714A174" w14:textId="77777777" w:rsidR="00CA75AE" w:rsidRPr="00567FB4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2D82AD24" w14:textId="77777777" w:rsidR="00CA75AE" w:rsidRPr="00567FB4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09391B4B" w14:textId="77777777" w:rsidR="00CA75AE" w:rsidRPr="00322DD2" w:rsidRDefault="00CA75AE" w:rsidP="00CA75AE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A75AE" w14:paraId="45BBFDE6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BE39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707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647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3D3EE07F" w14:textId="77777777" w:rsidTr="00542026">
        <w:trPr>
          <w:trHeight w:val="465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444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754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90BD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A257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AADD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B029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10236F71" w14:textId="77777777" w:rsidTr="00542026">
        <w:trPr>
          <w:trHeight w:val="43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4C8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334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3EB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021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60D5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7B4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28268722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FB1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C42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9AC7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AE3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5FA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8A4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725B41B5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E5D0" w14:textId="3CA592AA" w:rsidR="00CA75AE" w:rsidRPr="00567FB4" w:rsidRDefault="00134B99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3AD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777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B64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3F94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CCA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02274BA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BB4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9799" w14:textId="77777777" w:rsidR="00CA75AE" w:rsidRDefault="00CA75A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4944D7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9084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D9D0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F3CD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E740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A75AE" w14:paraId="238F2C6B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2C5A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3FE1" w14:textId="77777777" w:rsidR="00CA75AE" w:rsidRDefault="00CA75A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7AA5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F8F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DA3A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82EA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A75AE" w14:paraId="62F2C0B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C8F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B35C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9E7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5250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C1A5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B713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2F7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7FEBBAD4" w14:textId="77777777" w:rsidTr="00542026">
        <w:trPr>
          <w:trHeight w:val="2890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408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430C4FA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67FB4">
              <w:rPr>
                <w:b/>
                <w:bCs/>
                <w:sz w:val="22"/>
                <w:szCs w:val="22"/>
              </w:rPr>
              <w:t>ª REUNIÃO ORDINÁRIA DA 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567FB4">
              <w:rPr>
                <w:b/>
                <w:bCs/>
                <w:sz w:val="22"/>
                <w:szCs w:val="22"/>
              </w:rPr>
              <w:t>F-CAU/DF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7E01724C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1AA236E" w14:textId="13E888A5" w:rsidR="00CA75AE" w:rsidRPr="00567FB4" w:rsidRDefault="00CA75AE" w:rsidP="00CA75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DE </w:t>
            </w:r>
            <w:r>
              <w:rPr>
                <w:sz w:val="22"/>
                <w:szCs w:val="22"/>
              </w:rPr>
              <w:t>PROFISSIONAL FORMADO NO EXTERIOR</w:t>
            </w:r>
          </w:p>
          <w:p w14:paraId="171DF919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73E9E82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6F7C2995" w14:textId="77777777" w:rsidR="00CA75AE" w:rsidRDefault="00CA75AE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9543E6E" w14:textId="72F72759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116B520D" w14:textId="77777777" w:rsidR="00CA75AE" w:rsidRDefault="00CA75AE" w:rsidP="00CA75AE">
      <w:pPr>
        <w:tabs>
          <w:tab w:val="left" w:pos="1077"/>
        </w:tabs>
        <w:spacing w:line="276" w:lineRule="auto"/>
        <w:ind w:right="417"/>
      </w:pPr>
    </w:p>
    <w:p w14:paraId="6CEBB8DC" w14:textId="77777777" w:rsidR="003D596E" w:rsidRDefault="003D596E" w:rsidP="00CA75AE">
      <w:pPr>
        <w:widowControl w:val="0"/>
        <w:shd w:val="clear" w:color="auto" w:fill="FFFFFF" w:themeFill="background1"/>
        <w:spacing w:line="276" w:lineRule="auto"/>
        <w:jc w:val="center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48CD" w14:textId="77777777" w:rsidR="0051735F" w:rsidRDefault="0051735F">
      <w:r>
        <w:separator/>
      </w:r>
    </w:p>
  </w:endnote>
  <w:endnote w:type="continuationSeparator" w:id="0">
    <w:p w14:paraId="39D925A6" w14:textId="77777777" w:rsidR="0051735F" w:rsidRDefault="0051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Página</w:t>
    </w:r>
    <w:r w:rsidRPr="009A0479"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14:paraId="40860066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8CC9" w14:textId="77777777" w:rsidR="0051735F" w:rsidRDefault="0051735F">
      <w:r>
        <w:separator/>
      </w:r>
    </w:p>
  </w:footnote>
  <w:footnote w:type="continuationSeparator" w:id="0">
    <w:p w14:paraId="0D38F60F" w14:textId="77777777" w:rsidR="0051735F" w:rsidRDefault="0051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0423"/>
    <w:rsid w:val="000A10A1"/>
    <w:rsid w:val="00134B99"/>
    <w:rsid w:val="00146E63"/>
    <w:rsid w:val="00162F2A"/>
    <w:rsid w:val="001A12D7"/>
    <w:rsid w:val="001A33BF"/>
    <w:rsid w:val="00203EBC"/>
    <w:rsid w:val="002E2F03"/>
    <w:rsid w:val="00316AB1"/>
    <w:rsid w:val="00354B5A"/>
    <w:rsid w:val="003D596E"/>
    <w:rsid w:val="003F0F66"/>
    <w:rsid w:val="00447711"/>
    <w:rsid w:val="00493C34"/>
    <w:rsid w:val="0051735F"/>
    <w:rsid w:val="00542026"/>
    <w:rsid w:val="005532C4"/>
    <w:rsid w:val="005E2ECA"/>
    <w:rsid w:val="00674D23"/>
    <w:rsid w:val="006B2144"/>
    <w:rsid w:val="006F45EB"/>
    <w:rsid w:val="007C029A"/>
    <w:rsid w:val="0082123E"/>
    <w:rsid w:val="008A3313"/>
    <w:rsid w:val="008A7533"/>
    <w:rsid w:val="008F62CD"/>
    <w:rsid w:val="00912A1F"/>
    <w:rsid w:val="00980C63"/>
    <w:rsid w:val="009A0479"/>
    <w:rsid w:val="009D6BEF"/>
    <w:rsid w:val="00A93F74"/>
    <w:rsid w:val="00AB31AA"/>
    <w:rsid w:val="00AE7936"/>
    <w:rsid w:val="00B64928"/>
    <w:rsid w:val="00B813D2"/>
    <w:rsid w:val="00C05AEE"/>
    <w:rsid w:val="00C60788"/>
    <w:rsid w:val="00C82996"/>
    <w:rsid w:val="00CA75AE"/>
    <w:rsid w:val="00D056A9"/>
    <w:rsid w:val="00D56329"/>
    <w:rsid w:val="00D8794D"/>
    <w:rsid w:val="00DB5646"/>
    <w:rsid w:val="00E7255C"/>
    <w:rsid w:val="00F66AFB"/>
    <w:rsid w:val="00F73D6A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13</cp:revision>
  <cp:lastPrinted>2021-05-05T15:15:00Z</cp:lastPrinted>
  <dcterms:created xsi:type="dcterms:W3CDTF">2019-07-12T15:33:00Z</dcterms:created>
  <dcterms:modified xsi:type="dcterms:W3CDTF">2021-08-12T17:24:00Z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