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Pr="004A2DB8" w:rsidRDefault="005E2D97">
      <w:pPr>
        <w:rPr>
          <w:sz w:val="20"/>
          <w:szCs w:val="20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BC37DB" w:rsidRPr="004A2DB8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BC37DB" w:rsidRPr="004A2DB8" w:rsidRDefault="00BC37DB" w:rsidP="00BC37DB">
            <w:pPr>
              <w:pStyle w:val="Ttulo2"/>
              <w:rPr>
                <w:b w:val="0"/>
                <w:sz w:val="20"/>
              </w:rPr>
            </w:pPr>
            <w:r w:rsidRPr="004A2DB8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D681166" w:rsidR="00BC37DB" w:rsidRPr="004A2DB8" w:rsidRDefault="00BC37DB" w:rsidP="00BC3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A2DB8">
              <w:rPr>
                <w:sz w:val="20"/>
                <w:szCs w:val="20"/>
              </w:rPr>
              <w:t>PROTOCOLO SICCAU N.º 524660/2017</w:t>
            </w:r>
          </w:p>
        </w:tc>
      </w:tr>
      <w:tr w:rsidR="00BC37DB" w:rsidRPr="004A2DB8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BC37DB" w:rsidRPr="004A2DB8" w:rsidRDefault="00BC37DB" w:rsidP="00BC3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A2DB8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AA08F9B" w:rsidR="00BC37DB" w:rsidRPr="004A2DB8" w:rsidRDefault="00061F5E" w:rsidP="00BC3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A2DB8">
              <w:rPr>
                <w:bCs/>
                <w:sz w:val="20"/>
                <w:szCs w:val="20"/>
                <w:highlight w:val="black"/>
                <w:shd w:val="clear" w:color="auto" w:fill="FFFFFF"/>
                <w:lang w:bidi="he-IL"/>
              </w:rPr>
              <w:t xml:space="preserve">XXXXXXXXX </w:t>
            </w:r>
            <w:proofErr w:type="spellStart"/>
            <w:r w:rsidRPr="004A2DB8">
              <w:rPr>
                <w:bCs/>
                <w:sz w:val="20"/>
                <w:szCs w:val="20"/>
                <w:highlight w:val="black"/>
                <w:shd w:val="clear" w:color="auto" w:fill="FFFFFF"/>
                <w:lang w:bidi="he-IL"/>
              </w:rPr>
              <w:t>XXXXXXXXX</w:t>
            </w:r>
            <w:proofErr w:type="spellEnd"/>
            <w:r w:rsidRPr="004A2DB8">
              <w:rPr>
                <w:bCs/>
                <w:sz w:val="20"/>
                <w:szCs w:val="20"/>
                <w:highlight w:val="black"/>
                <w:shd w:val="clear" w:color="auto" w:fill="FFFFFF"/>
                <w:lang w:bidi="he-IL"/>
              </w:rPr>
              <w:t xml:space="preserve"> </w:t>
            </w:r>
            <w:proofErr w:type="spellStart"/>
            <w:r w:rsidRPr="004A2DB8">
              <w:rPr>
                <w:bCs/>
                <w:sz w:val="20"/>
                <w:szCs w:val="20"/>
                <w:highlight w:val="black"/>
                <w:shd w:val="clear" w:color="auto" w:fill="FFFFFF"/>
                <w:lang w:bidi="he-IL"/>
              </w:rPr>
              <w:t>XXXXXXXXX</w:t>
            </w:r>
            <w:proofErr w:type="spellEnd"/>
          </w:p>
        </w:tc>
      </w:tr>
      <w:tr w:rsidR="00C079CA" w:rsidRPr="004A2DB8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A2DB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A2DB8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6416345" w:rsidR="00C079CA" w:rsidRPr="004A2DB8" w:rsidRDefault="00BC37DB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A2DB8">
              <w:rPr>
                <w:bCs/>
                <w:sz w:val="20"/>
                <w:szCs w:val="20"/>
              </w:rPr>
              <w:t>SUPOSTO COMETIMENTO DE FALTA ÉTICO-DISCIPLINAR</w:t>
            </w:r>
          </w:p>
        </w:tc>
      </w:tr>
    </w:tbl>
    <w:p w14:paraId="2A242D29" w14:textId="77777777" w:rsidR="00C079CA" w:rsidRPr="004A2DB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A2DB8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2E5C8EF" w:rsidR="00C079CA" w:rsidRPr="004A2DB8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A2DB8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C92238" w:rsidRPr="004A2DB8">
              <w:rPr>
                <w:rFonts w:eastAsia="Calibri"/>
                <w:b/>
                <w:iCs/>
                <w:sz w:val="20"/>
                <w:szCs w:val="20"/>
              </w:rPr>
              <w:t>DPODF</w:t>
            </w:r>
            <w:r w:rsidRPr="004A2DB8">
              <w:rPr>
                <w:b/>
                <w:color w:val="000000"/>
                <w:sz w:val="20"/>
                <w:szCs w:val="20"/>
              </w:rPr>
              <w:t xml:space="preserve"> Nº 0</w:t>
            </w:r>
            <w:r w:rsidR="00C92238" w:rsidRPr="004A2DB8">
              <w:rPr>
                <w:b/>
                <w:color w:val="000000"/>
                <w:sz w:val="20"/>
                <w:szCs w:val="20"/>
              </w:rPr>
              <w:t>46</w:t>
            </w:r>
            <w:r w:rsidR="00BC37DB" w:rsidRPr="004A2DB8">
              <w:rPr>
                <w:b/>
                <w:color w:val="000000"/>
                <w:sz w:val="20"/>
                <w:szCs w:val="20"/>
              </w:rPr>
              <w:t>9</w:t>
            </w:r>
            <w:r w:rsidRPr="004A2DB8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A2DB8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A2DB8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A2DB8">
        <w:rPr>
          <w:color w:val="000000"/>
          <w:sz w:val="20"/>
          <w:szCs w:val="20"/>
        </w:rPr>
        <w:tab/>
      </w:r>
      <w:r w:rsidRPr="004A2DB8">
        <w:rPr>
          <w:color w:val="000000"/>
          <w:sz w:val="20"/>
          <w:szCs w:val="20"/>
        </w:rPr>
        <w:tab/>
      </w:r>
    </w:p>
    <w:p w14:paraId="2AF4FC60" w14:textId="4AFF3337" w:rsidR="00C079CA" w:rsidRPr="004A2DB8" w:rsidRDefault="00BC37DB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A2DB8">
        <w:rPr>
          <w:bCs/>
          <w:sz w:val="20"/>
          <w:szCs w:val="20"/>
          <w:highlight w:val="white"/>
        </w:rPr>
        <w:t>Aprova a Deliberação da CED que aprovou o relatório e o voto fundamentado da conselheira Relatora</w:t>
      </w:r>
      <w:r w:rsidR="006C386C" w:rsidRPr="004A2DB8">
        <w:rPr>
          <w:bCs/>
          <w:sz w:val="20"/>
          <w:szCs w:val="20"/>
        </w:rPr>
        <w:t>.</w:t>
      </w:r>
    </w:p>
    <w:p w14:paraId="1382B755" w14:textId="77777777" w:rsidR="00C079CA" w:rsidRPr="004A2DB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208365D" w14:textId="1A06F16E" w:rsidR="00C92238" w:rsidRPr="004A2DB8" w:rsidRDefault="00C92238" w:rsidP="00C92238">
      <w:pPr>
        <w:rPr>
          <w:rFonts w:eastAsia="Verdana"/>
          <w:sz w:val="20"/>
          <w:szCs w:val="20"/>
        </w:rPr>
      </w:pPr>
      <w:r w:rsidRPr="004A2DB8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e </w:t>
      </w:r>
      <w:bookmarkStart w:id="0" w:name="_Hlk102489255"/>
      <w:r w:rsidRPr="004A2DB8">
        <w:rPr>
          <w:rFonts w:eastAsia="Verdana"/>
          <w:sz w:val="20"/>
          <w:szCs w:val="20"/>
        </w:rPr>
        <w:t xml:space="preserve">reunido ordinariamente por meio </w:t>
      </w:r>
      <w:r w:rsidR="006C386C" w:rsidRPr="004A2DB8">
        <w:rPr>
          <w:rFonts w:eastAsia="Verdana"/>
          <w:sz w:val="20"/>
          <w:szCs w:val="20"/>
        </w:rPr>
        <w:t>híbrido (presencial e virtualmente)</w:t>
      </w:r>
      <w:r w:rsidRPr="004A2DB8">
        <w:rPr>
          <w:rFonts w:eastAsia="Verdana"/>
          <w:sz w:val="20"/>
          <w:szCs w:val="20"/>
        </w:rPr>
        <w:t xml:space="preserve">, </w:t>
      </w:r>
      <w:bookmarkEnd w:id="0"/>
      <w:r w:rsidRPr="004A2DB8">
        <w:rPr>
          <w:rFonts w:eastAsia="Verdana"/>
          <w:sz w:val="20"/>
          <w:szCs w:val="20"/>
        </w:rPr>
        <w:t xml:space="preserve">no dia </w:t>
      </w:r>
      <w:r w:rsidR="006C386C" w:rsidRPr="004A2DB8">
        <w:rPr>
          <w:rFonts w:eastAsia="Verdana"/>
          <w:sz w:val="20"/>
          <w:szCs w:val="20"/>
        </w:rPr>
        <w:t>25</w:t>
      </w:r>
      <w:r w:rsidRPr="004A2DB8">
        <w:rPr>
          <w:rFonts w:eastAsia="Verdana"/>
          <w:sz w:val="20"/>
          <w:szCs w:val="20"/>
        </w:rPr>
        <w:t xml:space="preserve"> de a</w:t>
      </w:r>
      <w:r w:rsidR="006C386C" w:rsidRPr="004A2DB8">
        <w:rPr>
          <w:rFonts w:eastAsia="Verdana"/>
          <w:sz w:val="20"/>
          <w:szCs w:val="20"/>
        </w:rPr>
        <w:t>bril</w:t>
      </w:r>
      <w:r w:rsidRPr="004A2DB8">
        <w:rPr>
          <w:rFonts w:eastAsia="Verdana"/>
          <w:sz w:val="20"/>
          <w:szCs w:val="20"/>
        </w:rPr>
        <w:t xml:space="preserve"> de 202</w:t>
      </w:r>
      <w:r w:rsidR="006C386C" w:rsidRPr="004A2DB8">
        <w:rPr>
          <w:rFonts w:eastAsia="Verdana"/>
          <w:sz w:val="20"/>
          <w:szCs w:val="20"/>
        </w:rPr>
        <w:t>2</w:t>
      </w:r>
      <w:r w:rsidRPr="004A2DB8">
        <w:rPr>
          <w:rFonts w:eastAsia="Verdana"/>
          <w:sz w:val="20"/>
          <w:szCs w:val="20"/>
        </w:rPr>
        <w:t>, após análise do processo em epígrafe, e</w:t>
      </w:r>
    </w:p>
    <w:p w14:paraId="5CC57968" w14:textId="15209699" w:rsidR="006B7926" w:rsidRPr="004A2DB8" w:rsidRDefault="006B7926" w:rsidP="00330ED8">
      <w:pPr>
        <w:rPr>
          <w:rFonts w:eastAsia="Verdana"/>
          <w:sz w:val="20"/>
          <w:szCs w:val="20"/>
        </w:rPr>
      </w:pPr>
    </w:p>
    <w:p w14:paraId="1E3E267A" w14:textId="40844EA6" w:rsidR="00BC37DB" w:rsidRPr="004A2DB8" w:rsidRDefault="00BC37DB" w:rsidP="00330ED8">
      <w:pPr>
        <w:rPr>
          <w:rFonts w:eastAsia="Verdana"/>
          <w:sz w:val="20"/>
          <w:szCs w:val="20"/>
        </w:rPr>
      </w:pPr>
      <w:r w:rsidRPr="004A2DB8">
        <w:rPr>
          <w:rFonts w:eastAsia="Verdana"/>
          <w:sz w:val="20"/>
          <w:szCs w:val="20"/>
        </w:rPr>
        <w:t>Considerando o artigo 29, inciso LXIV, do Regimento Interno do CAU/DF, que dispõe como competência do Plenário do CAU/DF: “</w:t>
      </w:r>
      <w:r w:rsidRPr="004A2DB8">
        <w:rPr>
          <w:rFonts w:eastAsia="Verdana"/>
          <w:i/>
          <w:sz w:val="20"/>
          <w:szCs w:val="20"/>
        </w:rPr>
        <w:t>apreciar e deliberar sobre julgamento, em primeira instância, de processos de infração ético-disciplinares, na forma dos atos normativos do CAU/BR”;</w:t>
      </w:r>
    </w:p>
    <w:p w14:paraId="0DF4F5D5" w14:textId="77777777" w:rsidR="00BC37DB" w:rsidRPr="004A2DB8" w:rsidRDefault="00BC37DB" w:rsidP="00330ED8">
      <w:pPr>
        <w:rPr>
          <w:rFonts w:eastAsia="Verdana"/>
          <w:sz w:val="20"/>
          <w:szCs w:val="20"/>
        </w:rPr>
      </w:pPr>
    </w:p>
    <w:p w14:paraId="4A744885" w14:textId="19D8A7E7" w:rsidR="007E53EC" w:rsidRPr="004A2DB8" w:rsidRDefault="007E53EC" w:rsidP="007E53EC">
      <w:pPr>
        <w:spacing w:before="100" w:beforeAutospacing="1" w:after="100" w:afterAutospacing="1"/>
        <w:ind w:right="142"/>
        <w:contextualSpacing/>
        <w:mirrorIndents/>
        <w:rPr>
          <w:rFonts w:eastAsia="Verdana"/>
          <w:sz w:val="20"/>
          <w:szCs w:val="20"/>
        </w:rPr>
      </w:pPr>
      <w:r w:rsidRPr="004A2DB8">
        <w:rPr>
          <w:rFonts w:eastAsia="Verdana"/>
          <w:sz w:val="20"/>
          <w:szCs w:val="20"/>
        </w:rPr>
        <w:t xml:space="preserve">Trata, o presente processo, denúncia apresentada junto ao CAU/DF pelo Senhor </w:t>
      </w:r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>XXXXXXXXX</w:t>
      </w:r>
      <w:r w:rsidR="00061F5E" w:rsidRPr="004A2DB8">
        <w:rPr>
          <w:bCs/>
          <w:sz w:val="20"/>
          <w:szCs w:val="20"/>
          <w:shd w:val="clear" w:color="auto" w:fill="FFFFFF"/>
          <w:lang w:bidi="he-IL"/>
        </w:rPr>
        <w:t xml:space="preserve"> </w:t>
      </w:r>
      <w:proofErr w:type="spellStart"/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>XXXXXXXXX</w:t>
      </w:r>
      <w:proofErr w:type="spellEnd"/>
      <w:r w:rsidRPr="004A2DB8">
        <w:rPr>
          <w:rFonts w:eastAsia="Verdana"/>
          <w:sz w:val="20"/>
          <w:szCs w:val="20"/>
        </w:rPr>
        <w:t xml:space="preserve">, em desfavor da arquiteta e urbanista </w:t>
      </w:r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 xml:space="preserve">XXXXXXXXX </w:t>
      </w:r>
      <w:proofErr w:type="spellStart"/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>XXXXXXXXX</w:t>
      </w:r>
      <w:proofErr w:type="spellEnd"/>
      <w:r w:rsidRPr="004A2DB8">
        <w:rPr>
          <w:rFonts w:eastAsia="Verdana"/>
          <w:sz w:val="20"/>
          <w:szCs w:val="20"/>
        </w:rPr>
        <w:t xml:space="preserve">, quanto a ocorrência de obra com “indícios” de problemas estruturais e de falta de baixa na RRT, assim como ausência de acompanhamento da obra do </w:t>
      </w:r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 xml:space="preserve">XXXXXXXXX </w:t>
      </w:r>
      <w:proofErr w:type="spellStart"/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>XXXXXXXXX</w:t>
      </w:r>
      <w:proofErr w:type="spellEnd"/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 xml:space="preserve"> XXXXXXXX X XXXXXXXXX </w:t>
      </w:r>
      <w:proofErr w:type="spellStart"/>
      <w:r w:rsidR="00061F5E" w:rsidRPr="004A2DB8">
        <w:rPr>
          <w:bCs/>
          <w:sz w:val="20"/>
          <w:szCs w:val="20"/>
          <w:highlight w:val="black"/>
          <w:shd w:val="clear" w:color="auto" w:fill="FFFFFF"/>
          <w:lang w:bidi="he-IL"/>
        </w:rPr>
        <w:t>XXXXXXXXX</w:t>
      </w:r>
      <w:proofErr w:type="spellEnd"/>
      <w:r w:rsidRPr="004A2DB8">
        <w:rPr>
          <w:rFonts w:eastAsia="Verdana"/>
          <w:sz w:val="20"/>
          <w:szCs w:val="20"/>
        </w:rPr>
        <w:t>;</w:t>
      </w:r>
    </w:p>
    <w:p w14:paraId="0FEF4382" w14:textId="68FD809B" w:rsidR="007E53EC" w:rsidRPr="004A2DB8" w:rsidRDefault="007E53EC" w:rsidP="007E53EC">
      <w:pPr>
        <w:spacing w:before="100" w:beforeAutospacing="1" w:after="100" w:afterAutospacing="1"/>
        <w:ind w:right="142"/>
        <w:contextualSpacing/>
        <w:mirrorIndents/>
        <w:rPr>
          <w:rFonts w:eastAsia="Verdana"/>
          <w:sz w:val="20"/>
          <w:szCs w:val="20"/>
        </w:rPr>
      </w:pPr>
    </w:p>
    <w:p w14:paraId="3D48138D" w14:textId="6BE59D5D" w:rsidR="007E53EC" w:rsidRPr="004A2DB8" w:rsidRDefault="007E53EC" w:rsidP="007E53EC">
      <w:pPr>
        <w:spacing w:before="100" w:beforeAutospacing="1" w:after="100" w:afterAutospacing="1"/>
        <w:ind w:right="142"/>
        <w:contextualSpacing/>
        <w:mirrorIndents/>
        <w:rPr>
          <w:rFonts w:eastAsia="Verdana"/>
          <w:sz w:val="20"/>
          <w:szCs w:val="20"/>
        </w:rPr>
      </w:pPr>
      <w:r w:rsidRPr="004A2DB8">
        <w:rPr>
          <w:rFonts w:eastAsia="Verdana"/>
          <w:sz w:val="20"/>
          <w:szCs w:val="20"/>
        </w:rPr>
        <w:t xml:space="preserve">Considerando o relatório e voto fundamentado da conselheira relatora Giselle Moll Mascarenhas, aprovado na Comissão de Ética e Disciplina do CAU/DF; </w:t>
      </w:r>
    </w:p>
    <w:p w14:paraId="017B3AAC" w14:textId="77777777" w:rsidR="007E53EC" w:rsidRPr="004A2DB8" w:rsidRDefault="007E53EC" w:rsidP="007E53EC">
      <w:pPr>
        <w:spacing w:before="100" w:beforeAutospacing="1" w:after="100" w:afterAutospacing="1"/>
        <w:ind w:right="142"/>
        <w:contextualSpacing/>
        <w:mirrorIndents/>
        <w:rPr>
          <w:rFonts w:eastAsia="Verdana"/>
          <w:sz w:val="20"/>
          <w:szCs w:val="20"/>
        </w:rPr>
      </w:pPr>
    </w:p>
    <w:p w14:paraId="603BA4DB" w14:textId="7DB46630" w:rsidR="007E53EC" w:rsidRPr="004A2DB8" w:rsidRDefault="007E53EC" w:rsidP="007E53EC">
      <w:pPr>
        <w:spacing w:before="100" w:beforeAutospacing="1" w:after="100" w:afterAutospacing="1"/>
        <w:ind w:right="142"/>
        <w:contextualSpacing/>
        <w:mirrorIndents/>
        <w:rPr>
          <w:rFonts w:eastAsia="Verdana"/>
          <w:sz w:val="20"/>
          <w:szCs w:val="20"/>
        </w:rPr>
      </w:pPr>
      <w:r w:rsidRPr="004A2DB8">
        <w:rPr>
          <w:rFonts w:eastAsia="Verdana"/>
          <w:sz w:val="20"/>
          <w:szCs w:val="20"/>
        </w:rPr>
        <w:t>Considerando a Deliberação n.º 002/2022 - CED-CAU/DF, que aprovou o relato e voto da conselheira relatora pela aplicação da penalidade de ADVERTÊNCIA PÚBLICA e MULTA DE 01 (UMA) ANUIDADE pelo cometimento de falta ético-disciplinar por parte da arquiteta e urbanista denunciada</w:t>
      </w:r>
      <w:r w:rsidRPr="004A2DB8">
        <w:rPr>
          <w:rFonts w:eastAsia="Verdana"/>
          <w:bCs/>
          <w:sz w:val="20"/>
          <w:szCs w:val="20"/>
        </w:rPr>
        <w:t xml:space="preserve">, por ofensa </w:t>
      </w:r>
      <w:r w:rsidRPr="004A2DB8">
        <w:rPr>
          <w:rFonts w:eastAsia="Verdana"/>
          <w:sz w:val="20"/>
          <w:szCs w:val="20"/>
        </w:rPr>
        <w:t>ao artigo 18, item IX da Lei n.º 12.378/2010, combinado com os itens 2.2.7, 2.2.8, 3.2.1 e 3.2.12</w:t>
      </w:r>
      <w:r w:rsidRPr="004A2DB8">
        <w:rPr>
          <w:rFonts w:eastAsia="Verdana"/>
          <w:bCs/>
          <w:sz w:val="20"/>
          <w:szCs w:val="20"/>
        </w:rPr>
        <w:t xml:space="preserve"> do Código de Ética e Disciplina para Arquitetos e Urbanistas do CAU/BR;</w:t>
      </w:r>
    </w:p>
    <w:p w14:paraId="62DDFBAF" w14:textId="77777777" w:rsidR="007E53EC" w:rsidRPr="004A2DB8" w:rsidRDefault="007E53EC" w:rsidP="007E53EC">
      <w:pPr>
        <w:shd w:val="clear" w:color="auto" w:fill="FFFFFF"/>
        <w:spacing w:line="276" w:lineRule="auto"/>
        <w:rPr>
          <w:sz w:val="20"/>
          <w:szCs w:val="20"/>
        </w:rPr>
      </w:pPr>
    </w:p>
    <w:p w14:paraId="17B55FEF" w14:textId="77777777" w:rsidR="00C92238" w:rsidRPr="004A2DB8" w:rsidRDefault="00F36EB3" w:rsidP="00C92238">
      <w:pPr>
        <w:rPr>
          <w:b/>
          <w:sz w:val="20"/>
          <w:szCs w:val="20"/>
        </w:rPr>
      </w:pPr>
      <w:r w:rsidRPr="004A2DB8">
        <w:rPr>
          <w:b/>
          <w:sz w:val="20"/>
          <w:szCs w:val="20"/>
        </w:rPr>
        <w:t>DELIBEROU:</w:t>
      </w:r>
    </w:p>
    <w:p w14:paraId="1633D721" w14:textId="77777777" w:rsidR="00C92238" w:rsidRPr="004A2DB8" w:rsidRDefault="00C92238" w:rsidP="00C92238">
      <w:pPr>
        <w:rPr>
          <w:b/>
          <w:sz w:val="20"/>
          <w:szCs w:val="20"/>
        </w:rPr>
      </w:pPr>
    </w:p>
    <w:p w14:paraId="24484933" w14:textId="5A6ECC16" w:rsidR="00E541D7" w:rsidRPr="004A2DB8" w:rsidRDefault="00C92238" w:rsidP="00F0749A">
      <w:pPr>
        <w:rPr>
          <w:sz w:val="20"/>
          <w:szCs w:val="20"/>
        </w:rPr>
      </w:pPr>
      <w:r w:rsidRPr="004A2DB8">
        <w:rPr>
          <w:bCs/>
          <w:sz w:val="20"/>
          <w:szCs w:val="20"/>
        </w:rPr>
        <w:t>1 -</w:t>
      </w:r>
      <w:r w:rsidR="00E541D7" w:rsidRPr="004A2DB8">
        <w:rPr>
          <w:sz w:val="20"/>
          <w:szCs w:val="20"/>
        </w:rPr>
        <w:t xml:space="preserve"> </w:t>
      </w:r>
      <w:r w:rsidR="007E53EC" w:rsidRPr="004A2DB8">
        <w:rPr>
          <w:rFonts w:eastAsia="Verdana"/>
          <w:sz w:val="20"/>
          <w:szCs w:val="20"/>
        </w:rPr>
        <w:t>Aprovar a Deliberação n.º 002/2022 - CED-CAU/DF, que aprovou o relato e voto da Conselheira Relatora pela aplicação</w:t>
      </w:r>
      <w:r w:rsidR="007E53EC" w:rsidRPr="004A2DB8">
        <w:rPr>
          <w:sz w:val="20"/>
          <w:szCs w:val="20"/>
        </w:rPr>
        <w:t xml:space="preserve"> </w:t>
      </w:r>
      <w:r w:rsidR="007E53EC" w:rsidRPr="004A2DB8">
        <w:rPr>
          <w:rFonts w:eastAsia="Verdana"/>
          <w:sz w:val="20"/>
          <w:szCs w:val="20"/>
        </w:rPr>
        <w:t>da penalidade de ADVERTÊNCIA PÚBLICA e MULTA DE 01 (UMA) ANUIDADE pelo cometimento de falta ético-disciplinar por parte da arquiteta e urbanista denunciada</w:t>
      </w:r>
      <w:r w:rsidR="007E53EC" w:rsidRPr="004A2DB8">
        <w:rPr>
          <w:rFonts w:eastAsia="Verdana"/>
          <w:bCs/>
          <w:sz w:val="20"/>
          <w:szCs w:val="20"/>
        </w:rPr>
        <w:t xml:space="preserve">, por ofensa </w:t>
      </w:r>
      <w:r w:rsidR="007E53EC" w:rsidRPr="004A2DB8">
        <w:rPr>
          <w:rFonts w:eastAsia="Verdana"/>
          <w:sz w:val="20"/>
          <w:szCs w:val="20"/>
        </w:rPr>
        <w:t>ao artigo 18, item IX da Lei n.º 12.378/2010, combinado com os itens 2.2.7, 2.2.8, 3.2.1 e 3.2.12</w:t>
      </w:r>
      <w:r w:rsidR="007E53EC" w:rsidRPr="004A2DB8">
        <w:rPr>
          <w:rFonts w:eastAsia="Verdana"/>
          <w:bCs/>
          <w:sz w:val="20"/>
          <w:szCs w:val="20"/>
        </w:rPr>
        <w:t xml:space="preserve"> do Código de Ética e Disciplina para Arquitetos e Urbanistas do CAU/BR;</w:t>
      </w:r>
    </w:p>
    <w:p w14:paraId="127FC8AC" w14:textId="3B107572" w:rsidR="00C079CA" w:rsidRPr="004A2DB8" w:rsidRDefault="00C079CA" w:rsidP="00E64510">
      <w:pPr>
        <w:rPr>
          <w:rFonts w:eastAsia="Verdana"/>
          <w:sz w:val="20"/>
          <w:szCs w:val="20"/>
        </w:rPr>
      </w:pPr>
    </w:p>
    <w:p w14:paraId="536A2405" w14:textId="77777777" w:rsidR="004A2DB8" w:rsidRPr="004A2DB8" w:rsidRDefault="004A2DB8" w:rsidP="004A2D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A2DB8">
        <w:rPr>
          <w:sz w:val="20"/>
          <w:szCs w:val="20"/>
        </w:rPr>
        <w:t xml:space="preserve">Esta deliberação entra em vigor nesta data. </w:t>
      </w:r>
    </w:p>
    <w:p w14:paraId="29F4AB56" w14:textId="77777777" w:rsidR="004A2DB8" w:rsidRPr="004A2DB8" w:rsidRDefault="004A2DB8" w:rsidP="004A2D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A2DB8">
        <w:rPr>
          <w:sz w:val="20"/>
          <w:szCs w:val="20"/>
        </w:rPr>
        <w:t xml:space="preserve"> </w:t>
      </w:r>
    </w:p>
    <w:p w14:paraId="4EF50701" w14:textId="2A5DBBB7" w:rsidR="00074042" w:rsidRPr="004A2DB8" w:rsidRDefault="004A2DB8" w:rsidP="004A2DB8">
      <w:pPr>
        <w:rPr>
          <w:sz w:val="20"/>
          <w:szCs w:val="20"/>
        </w:rPr>
      </w:pPr>
      <w:r w:rsidRPr="004A2DB8">
        <w:rPr>
          <w:b/>
          <w:sz w:val="20"/>
          <w:szCs w:val="20"/>
        </w:rPr>
        <w:t>Com 10 votos favoráveis</w:t>
      </w:r>
      <w:r w:rsidRPr="004A2DB8">
        <w:rPr>
          <w:sz w:val="20"/>
          <w:szCs w:val="20"/>
        </w:rPr>
        <w:t xml:space="preserve"> dos conselheiros: Renata Seabra Resende Castro Corrêa (em titularidade), Caio Frederico e Silva (em titularidade), Sandra Maria França Marinho (em titularidade), </w:t>
      </w:r>
      <w:r w:rsidRPr="004A2DB8">
        <w:rPr>
          <w:bCs/>
          <w:sz w:val="20"/>
          <w:szCs w:val="20"/>
        </w:rPr>
        <w:t>Júlia Teixeira Fernandes, João Eduardo Martins Dantas,</w:t>
      </w:r>
      <w:r w:rsidRPr="004A2DB8">
        <w:rPr>
          <w:sz w:val="20"/>
          <w:szCs w:val="20"/>
        </w:rPr>
        <w:t xml:space="preserve"> Larissa de Aguiar Cayres (em titularidade), Luiz Caio Avila Diniz, Pedro Roberto da Silva Neto, </w:t>
      </w:r>
      <w:r w:rsidRPr="004A2DB8">
        <w:rPr>
          <w:bCs/>
          <w:sz w:val="20"/>
          <w:szCs w:val="20"/>
        </w:rPr>
        <w:t>Jéssica Costa Spehar</w:t>
      </w:r>
      <w:r w:rsidRPr="004A2DB8">
        <w:rPr>
          <w:sz w:val="20"/>
          <w:szCs w:val="20"/>
        </w:rPr>
        <w:t xml:space="preserve"> e Gabriela Cascelli Farinasso; </w:t>
      </w:r>
      <w:r w:rsidRPr="004A2DB8">
        <w:rPr>
          <w:bCs/>
          <w:sz w:val="20"/>
          <w:szCs w:val="20"/>
        </w:rPr>
        <w:t xml:space="preserve">00 Voto Contrário, 00 Abstenção e </w:t>
      </w:r>
      <w:r w:rsidRPr="004A2DB8">
        <w:rPr>
          <w:b/>
          <w:bCs/>
          <w:sz w:val="20"/>
          <w:szCs w:val="20"/>
        </w:rPr>
        <w:t>02 Ausências</w:t>
      </w:r>
      <w:r w:rsidRPr="004A2DB8">
        <w:rPr>
          <w:bCs/>
          <w:sz w:val="20"/>
          <w:szCs w:val="20"/>
        </w:rPr>
        <w:t>, dos conselheiros Carlos Henrique Magalhães de Lima e Anie Caroline Afonso Figueira</w:t>
      </w:r>
      <w:r w:rsidR="00074042" w:rsidRPr="004A2DB8">
        <w:rPr>
          <w:sz w:val="20"/>
          <w:szCs w:val="20"/>
        </w:rPr>
        <w:t xml:space="preserve">. </w:t>
      </w:r>
    </w:p>
    <w:p w14:paraId="291A82F6" w14:textId="77777777" w:rsidR="00074042" w:rsidRPr="004A2DB8" w:rsidRDefault="00074042" w:rsidP="00074042">
      <w:pPr>
        <w:rPr>
          <w:sz w:val="20"/>
          <w:szCs w:val="20"/>
        </w:rPr>
      </w:pPr>
    </w:p>
    <w:p w14:paraId="21841D63" w14:textId="5F327A96" w:rsidR="00074042" w:rsidRPr="004A2DB8" w:rsidRDefault="00074042" w:rsidP="00C92238">
      <w:pPr>
        <w:tabs>
          <w:tab w:val="left" w:pos="1134"/>
        </w:tabs>
        <w:jc w:val="center"/>
        <w:rPr>
          <w:sz w:val="20"/>
          <w:szCs w:val="20"/>
        </w:rPr>
      </w:pPr>
      <w:r w:rsidRPr="004A2DB8">
        <w:rPr>
          <w:sz w:val="20"/>
          <w:szCs w:val="20"/>
        </w:rPr>
        <w:t xml:space="preserve">Brasília, </w:t>
      </w:r>
      <w:r w:rsidR="00C92238" w:rsidRPr="004A2DB8">
        <w:rPr>
          <w:sz w:val="20"/>
          <w:szCs w:val="20"/>
        </w:rPr>
        <w:t>25</w:t>
      </w:r>
      <w:r w:rsidRPr="004A2DB8">
        <w:rPr>
          <w:sz w:val="20"/>
          <w:szCs w:val="20"/>
        </w:rPr>
        <w:t xml:space="preserve"> de abril de 2022.</w:t>
      </w:r>
    </w:p>
    <w:p w14:paraId="6468356E" w14:textId="58D3DD76" w:rsidR="00074042" w:rsidRPr="004A2DB8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4A6E5997" w14:textId="3547EA96" w:rsidR="00C92238" w:rsidRPr="004A2DB8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FF4420" w14:textId="77777777" w:rsidR="002E54E6" w:rsidRPr="004A2DB8" w:rsidRDefault="002E54E6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391A3EA2" w14:textId="77777777" w:rsidR="00C92238" w:rsidRPr="004A2DB8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A2DB8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475A35FB" w:rsidR="00074042" w:rsidRPr="004A2DB8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A2DB8">
        <w:rPr>
          <w:b/>
          <w:sz w:val="20"/>
          <w:szCs w:val="20"/>
        </w:rPr>
        <w:t>MÔNICA ANDR</w:t>
      </w:r>
      <w:r w:rsidR="00D72407" w:rsidRPr="004A2DB8">
        <w:rPr>
          <w:b/>
          <w:sz w:val="20"/>
          <w:szCs w:val="20"/>
        </w:rPr>
        <w:t>É</w:t>
      </w:r>
      <w:r w:rsidRPr="004A2DB8">
        <w:rPr>
          <w:b/>
          <w:sz w:val="20"/>
          <w:szCs w:val="20"/>
        </w:rPr>
        <w:t>A BLANCO</w:t>
      </w:r>
    </w:p>
    <w:p w14:paraId="380B45F5" w14:textId="1595A920" w:rsidR="00C079CA" w:rsidRPr="004A2DB8" w:rsidRDefault="00074042" w:rsidP="00074042">
      <w:pPr>
        <w:jc w:val="center"/>
        <w:rPr>
          <w:sz w:val="20"/>
          <w:szCs w:val="20"/>
        </w:rPr>
      </w:pPr>
      <w:r w:rsidRPr="004A2DB8">
        <w:rPr>
          <w:color w:val="000000"/>
          <w:sz w:val="20"/>
          <w:szCs w:val="20"/>
          <w:lang w:eastAsia="zh-CN"/>
        </w:rPr>
        <w:t>P</w:t>
      </w:r>
      <w:r w:rsidRPr="004A2DB8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A2DB8" w:rsidSect="00C9223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993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9AF35" w14:textId="77777777" w:rsidR="00FC564F" w:rsidRDefault="00FC564F">
      <w:r>
        <w:separator/>
      </w:r>
    </w:p>
  </w:endnote>
  <w:endnote w:type="continuationSeparator" w:id="0">
    <w:p w14:paraId="0572D802" w14:textId="77777777" w:rsidR="00FC564F" w:rsidRDefault="00FC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D727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9029E" w14:textId="77777777" w:rsidR="00FC564F" w:rsidRDefault="00FC564F">
      <w:r>
        <w:separator/>
      </w:r>
    </w:p>
  </w:footnote>
  <w:footnote w:type="continuationSeparator" w:id="0">
    <w:p w14:paraId="35720F36" w14:textId="77777777" w:rsidR="00FC564F" w:rsidRDefault="00FC5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3.2pt">
          <v:imagedata r:id="rId1" o:title=""/>
        </v:shape>
        <o:OLEObject Type="Embed" ProgID="CorelDraw.Graphic.16" ShapeID="_x0000_i1025" DrawAspect="Content" ObjectID="_171310614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9542D10"/>
    <w:multiLevelType w:val="hybridMultilevel"/>
    <w:tmpl w:val="CED086AA"/>
    <w:lvl w:ilvl="0" w:tplc="8702BB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B4E75"/>
    <w:multiLevelType w:val="hybridMultilevel"/>
    <w:tmpl w:val="9F923118"/>
    <w:lvl w:ilvl="0" w:tplc="5C42DE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1228493988">
    <w:abstractNumId w:val="6"/>
  </w:num>
  <w:num w:numId="2" w16cid:durableId="454450293">
    <w:abstractNumId w:val="7"/>
  </w:num>
  <w:num w:numId="3" w16cid:durableId="1786994397">
    <w:abstractNumId w:val="0"/>
  </w:num>
  <w:num w:numId="4" w16cid:durableId="2092266618">
    <w:abstractNumId w:val="2"/>
  </w:num>
  <w:num w:numId="5" w16cid:durableId="364453680">
    <w:abstractNumId w:val="3"/>
  </w:num>
  <w:num w:numId="6" w16cid:durableId="676034372">
    <w:abstractNumId w:val="1"/>
  </w:num>
  <w:num w:numId="7" w16cid:durableId="6631666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6418834">
    <w:abstractNumId w:val="5"/>
  </w:num>
  <w:num w:numId="9" w16cid:durableId="794757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1F5E"/>
    <w:rsid w:val="00066C19"/>
    <w:rsid w:val="00074042"/>
    <w:rsid w:val="000B095B"/>
    <w:rsid w:val="00147453"/>
    <w:rsid w:val="00147847"/>
    <w:rsid w:val="001B455C"/>
    <w:rsid w:val="001B5C48"/>
    <w:rsid w:val="002626BB"/>
    <w:rsid w:val="00275CA4"/>
    <w:rsid w:val="002B559F"/>
    <w:rsid w:val="002E3707"/>
    <w:rsid w:val="002E54E6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85E49"/>
    <w:rsid w:val="004A2DB8"/>
    <w:rsid w:val="004D35FF"/>
    <w:rsid w:val="0050425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6C386C"/>
    <w:rsid w:val="00723C27"/>
    <w:rsid w:val="00785751"/>
    <w:rsid w:val="00791C0E"/>
    <w:rsid w:val="007A1082"/>
    <w:rsid w:val="007D7BD8"/>
    <w:rsid w:val="007E53EC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9B5059"/>
    <w:rsid w:val="00A16FC4"/>
    <w:rsid w:val="00A83556"/>
    <w:rsid w:val="00B8704E"/>
    <w:rsid w:val="00BC37DB"/>
    <w:rsid w:val="00BD7275"/>
    <w:rsid w:val="00C06837"/>
    <w:rsid w:val="00C079CA"/>
    <w:rsid w:val="00C111AE"/>
    <w:rsid w:val="00C45A0E"/>
    <w:rsid w:val="00C53EFA"/>
    <w:rsid w:val="00C86629"/>
    <w:rsid w:val="00C92238"/>
    <w:rsid w:val="00CA56CE"/>
    <w:rsid w:val="00CD30A6"/>
    <w:rsid w:val="00D36A26"/>
    <w:rsid w:val="00D52394"/>
    <w:rsid w:val="00D72407"/>
    <w:rsid w:val="00D77237"/>
    <w:rsid w:val="00D934F2"/>
    <w:rsid w:val="00DF4CE9"/>
    <w:rsid w:val="00E26AC1"/>
    <w:rsid w:val="00E36731"/>
    <w:rsid w:val="00E541D7"/>
    <w:rsid w:val="00E64510"/>
    <w:rsid w:val="00EE452C"/>
    <w:rsid w:val="00F00888"/>
    <w:rsid w:val="00F05164"/>
    <w:rsid w:val="00F0749A"/>
    <w:rsid w:val="00F11285"/>
    <w:rsid w:val="00F276E9"/>
    <w:rsid w:val="00F35605"/>
    <w:rsid w:val="00F35753"/>
    <w:rsid w:val="00F36EB3"/>
    <w:rsid w:val="00F724D6"/>
    <w:rsid w:val="00F747CD"/>
    <w:rsid w:val="00FC564F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</cp:revision>
  <cp:lastPrinted>2021-01-18T14:52:00Z</cp:lastPrinted>
  <dcterms:created xsi:type="dcterms:W3CDTF">2022-05-03T20:42:00Z</dcterms:created>
  <dcterms:modified xsi:type="dcterms:W3CDTF">2022-05-03T21:02:00Z</dcterms:modified>
</cp:coreProperties>
</file>