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211F4D94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FB6FD9">
        <w:rPr>
          <w:rFonts w:ascii="Times New Roman" w:eastAsia="Verdana" w:hAnsi="Times New Roman"/>
          <w:sz w:val="22"/>
          <w:szCs w:val="22"/>
        </w:rPr>
        <w:t>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FB6FD9">
        <w:rPr>
          <w:rFonts w:ascii="Times New Roman" w:eastAsia="Verdana" w:hAnsi="Times New Roman"/>
          <w:sz w:val="22"/>
          <w:szCs w:val="22"/>
        </w:rPr>
        <w:t>dez</w:t>
      </w:r>
      <w:r w:rsidR="00BE41BB">
        <w:rPr>
          <w:rFonts w:ascii="Times New Roman" w:eastAsia="Verdana" w:hAnsi="Times New Roman"/>
          <w:sz w:val="22"/>
          <w:szCs w:val="22"/>
        </w:rPr>
        <w:t>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4CD4EAC" w14:textId="79ADF594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FB6FD9">
        <w:rPr>
          <w:rFonts w:ascii="Times New Roman" w:hAnsi="Times New Roman"/>
          <w:sz w:val="22"/>
          <w:szCs w:val="22"/>
        </w:rPr>
        <w:t xml:space="preserve">auto de infração </w:t>
      </w:r>
      <w:r w:rsidR="00FB6FD9" w:rsidRPr="00FB6FD9">
        <w:rPr>
          <w:rFonts w:ascii="Times New Roman" w:hAnsi="Times New Roman"/>
          <w:sz w:val="22"/>
          <w:szCs w:val="22"/>
        </w:rPr>
        <w:t xml:space="preserve">instaurado em desfavor da </w:t>
      </w:r>
      <w:r w:rsidR="00FB6FD9">
        <w:rPr>
          <w:rFonts w:ascii="Times New Roman" w:hAnsi="Times New Roman"/>
          <w:sz w:val="22"/>
          <w:szCs w:val="22"/>
        </w:rPr>
        <w:t>a</w:t>
      </w:r>
      <w:r w:rsidR="00FB6FD9" w:rsidRPr="00FB6FD9">
        <w:rPr>
          <w:rFonts w:ascii="Times New Roman" w:hAnsi="Times New Roman"/>
          <w:sz w:val="22"/>
          <w:szCs w:val="22"/>
        </w:rPr>
        <w:t xml:space="preserve">rquitetura e </w:t>
      </w:r>
      <w:r w:rsidR="00FB6FD9">
        <w:rPr>
          <w:rFonts w:ascii="Times New Roman" w:hAnsi="Times New Roman"/>
          <w:sz w:val="22"/>
          <w:szCs w:val="22"/>
        </w:rPr>
        <w:t>u</w:t>
      </w:r>
      <w:r w:rsidR="00FB6FD9" w:rsidRPr="00FB6FD9">
        <w:rPr>
          <w:rFonts w:ascii="Times New Roman" w:hAnsi="Times New Roman"/>
          <w:sz w:val="22"/>
          <w:szCs w:val="22"/>
        </w:rPr>
        <w:t xml:space="preserve">rbanista </w:t>
      </w:r>
      <w:r w:rsidR="00E81B9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FB6FD9" w:rsidRPr="00FB6FD9">
        <w:rPr>
          <w:rFonts w:ascii="Times New Roman" w:hAnsi="Times New Roman"/>
          <w:sz w:val="22"/>
          <w:szCs w:val="22"/>
        </w:rPr>
        <w:t>, por exorbitância de atribuições</w:t>
      </w:r>
      <w:r w:rsidRPr="00D7300F">
        <w:rPr>
          <w:rFonts w:ascii="Times New Roman" w:hAnsi="Times New Roman"/>
          <w:sz w:val="22"/>
          <w:szCs w:val="22"/>
        </w:rPr>
        <w:t xml:space="preserve">. O processo </w:t>
      </w:r>
      <w:r w:rsidR="00FB6FD9" w:rsidRPr="00FB6FD9">
        <w:rPr>
          <w:rFonts w:ascii="Times New Roman" w:hAnsi="Times New Roman"/>
          <w:sz w:val="22"/>
          <w:szCs w:val="22"/>
        </w:rPr>
        <w:t>originou-se da denúncia apresentada ao CAU/DF, protocolada sob nº 394408/2016, na qual a Subsecretaria de Proteção e Defesa Civil questiona acerca das atribuições da arquiteta e urbanista</w:t>
      </w:r>
      <w:r>
        <w:rPr>
          <w:rFonts w:ascii="Times New Roman" w:hAnsi="Times New Roman"/>
          <w:sz w:val="22"/>
          <w:szCs w:val="22"/>
        </w:rPr>
        <w:t>;</w:t>
      </w:r>
    </w:p>
    <w:p w14:paraId="58B8D8BA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4948DBB" w14:textId="0F69FFE8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  <w:r w:rsidRPr="003E7AF7">
        <w:rPr>
          <w:rFonts w:ascii="Times New Roman" w:hAnsi="Times New Roman"/>
          <w:sz w:val="22"/>
          <w:szCs w:val="22"/>
        </w:rPr>
        <w:t>No RRT nº 4024138 registrada pela arquiteta e urbanista ela se declara responsável por um “gerador de energia” que irá atender uma carga de 180kva, para alimentar “provisoriamente” uma praça ou um evento</w:t>
      </w:r>
      <w:r>
        <w:rPr>
          <w:rFonts w:ascii="Times New Roman" w:hAnsi="Times New Roman"/>
          <w:sz w:val="22"/>
          <w:szCs w:val="22"/>
        </w:rPr>
        <w:t>;</w:t>
      </w:r>
      <w:r w:rsidRPr="003E7AF7">
        <w:rPr>
          <w:rFonts w:ascii="Times New Roman" w:hAnsi="Times New Roman"/>
          <w:sz w:val="22"/>
          <w:szCs w:val="22"/>
        </w:rPr>
        <w:t xml:space="preserve"> </w:t>
      </w:r>
    </w:p>
    <w:p w14:paraId="708B2492" w14:textId="2506E535" w:rsidR="00DA69B0" w:rsidRDefault="00DA69B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493F8F3" w14:textId="2BF501EA" w:rsidR="00DA69B0" w:rsidRDefault="00DA69B0" w:rsidP="008F38D1">
      <w:pPr>
        <w:jc w:val="both"/>
        <w:rPr>
          <w:rFonts w:ascii="Times New Roman" w:hAnsi="Times New Roman"/>
          <w:sz w:val="22"/>
          <w:szCs w:val="22"/>
        </w:rPr>
      </w:pPr>
      <w:r w:rsidRPr="00DA69B0">
        <w:rPr>
          <w:rFonts w:ascii="Times New Roman" w:hAnsi="Times New Roman"/>
          <w:sz w:val="22"/>
          <w:szCs w:val="22"/>
        </w:rPr>
        <w:t>O Departamento de Fiscalização do CAU/DF, ao tomar conhecimento do ofício, encaminhou à Comissão de Exercício Profissional do CAU/BR (CEP-CAU/BR), questionamento referente às atribuições da arquiteta e urbanista, em relação aos serviços anotados na RRT. Em resposta da CEP-CAU/BR informa que:</w:t>
      </w:r>
    </w:p>
    <w:p w14:paraId="6229B1FB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10FE409" w14:textId="6FE85D50" w:rsidR="003E7AF7" w:rsidRDefault="00DA69B0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3E7AF7">
        <w:rPr>
          <w:rFonts w:ascii="Times New Roman" w:hAnsi="Times New Roman"/>
          <w:sz w:val="22"/>
          <w:szCs w:val="22"/>
        </w:rPr>
        <w:t>Considerando a</w:t>
      </w:r>
      <w:r w:rsidR="003E7AF7" w:rsidRPr="003E7AF7">
        <w:rPr>
          <w:rFonts w:ascii="Times New Roman" w:hAnsi="Times New Roman"/>
          <w:sz w:val="22"/>
          <w:szCs w:val="22"/>
        </w:rPr>
        <w:t xml:space="preserve"> Resolução n</w:t>
      </w:r>
      <w:r>
        <w:rPr>
          <w:rFonts w:ascii="Times New Roman" w:hAnsi="Times New Roman"/>
          <w:sz w:val="22"/>
          <w:szCs w:val="22"/>
        </w:rPr>
        <w:t>.</w:t>
      </w:r>
      <w:r w:rsidR="003E7AF7" w:rsidRPr="003E7AF7">
        <w:rPr>
          <w:rFonts w:ascii="Times New Roman" w:hAnsi="Times New Roman"/>
          <w:sz w:val="22"/>
          <w:szCs w:val="22"/>
        </w:rPr>
        <w:t>º 21</w:t>
      </w:r>
      <w:r w:rsidR="003E7AF7">
        <w:rPr>
          <w:rFonts w:ascii="Times New Roman" w:hAnsi="Times New Roman"/>
          <w:sz w:val="22"/>
          <w:szCs w:val="22"/>
        </w:rPr>
        <w:t>/2012 do CAU/BR, que</w:t>
      </w:r>
      <w:r w:rsidR="003E7AF7" w:rsidRPr="003E7AF7">
        <w:rPr>
          <w:rFonts w:ascii="Times New Roman" w:hAnsi="Times New Roman"/>
          <w:sz w:val="22"/>
          <w:szCs w:val="22"/>
        </w:rPr>
        <w:t xml:space="preserve"> trata de atividades e atribuições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profissionais do arquiteto e urbanista e prevê instalações e equipamentos referentes à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arquitetura </w:t>
      </w:r>
      <w:r w:rsidR="003E7AF7">
        <w:rPr>
          <w:rFonts w:ascii="Times New Roman" w:hAnsi="Times New Roman"/>
          <w:sz w:val="22"/>
          <w:szCs w:val="22"/>
        </w:rPr>
        <w:t>e que estabelece em seu art. 3º:</w:t>
      </w:r>
    </w:p>
    <w:p w14:paraId="43581FDC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630824C" w14:textId="58472724" w:rsidR="003E7AF7" w:rsidRPr="003E7AF7" w:rsidRDefault="003E7AF7" w:rsidP="003E7AF7">
      <w:pPr>
        <w:ind w:left="720"/>
        <w:jc w:val="right"/>
        <w:rPr>
          <w:rFonts w:ascii="Times New Roman" w:hAnsi="Times New Roman"/>
          <w:i/>
          <w:iCs/>
          <w:sz w:val="20"/>
          <w:szCs w:val="20"/>
        </w:rPr>
      </w:pPr>
      <w:r w:rsidRPr="003E7AF7">
        <w:rPr>
          <w:rFonts w:ascii="Times New Roman" w:hAnsi="Times New Roman"/>
          <w:i/>
          <w:iCs/>
          <w:sz w:val="20"/>
          <w:szCs w:val="20"/>
        </w:rPr>
        <w:t xml:space="preserve">“1.5.7. Projeto de instalações elétricas prediais de baixa tensão; </w:t>
      </w:r>
    </w:p>
    <w:p w14:paraId="1A05CAE9" w14:textId="26CB094C" w:rsidR="003E7AF7" w:rsidRPr="003E7AF7" w:rsidRDefault="003E7AF7" w:rsidP="003E7AF7">
      <w:pPr>
        <w:ind w:left="720"/>
        <w:jc w:val="right"/>
        <w:rPr>
          <w:rFonts w:ascii="Times New Roman" w:hAnsi="Times New Roman"/>
          <w:i/>
          <w:iCs/>
          <w:sz w:val="20"/>
          <w:szCs w:val="20"/>
        </w:rPr>
      </w:pPr>
      <w:r w:rsidRPr="003E7AF7">
        <w:rPr>
          <w:rFonts w:ascii="Times New Roman" w:hAnsi="Times New Roman"/>
          <w:i/>
          <w:iCs/>
          <w:sz w:val="20"/>
          <w:szCs w:val="20"/>
        </w:rPr>
        <w:t xml:space="preserve">2.5.7 Execução de instalações elétricas prediais de baixa tensão;”. </w:t>
      </w:r>
    </w:p>
    <w:p w14:paraId="7A42971E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DDE9C67" w14:textId="39F54667" w:rsidR="003E7AF7" w:rsidRDefault="00DA69B0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3E7AF7">
        <w:rPr>
          <w:rFonts w:ascii="Times New Roman" w:hAnsi="Times New Roman"/>
          <w:sz w:val="22"/>
          <w:szCs w:val="22"/>
        </w:rPr>
        <w:t xml:space="preserve">Considerando que a </w:t>
      </w:r>
      <w:r w:rsidR="003E7AF7" w:rsidRPr="003E7AF7">
        <w:rPr>
          <w:rFonts w:ascii="Times New Roman" w:hAnsi="Times New Roman"/>
          <w:sz w:val="22"/>
          <w:szCs w:val="22"/>
        </w:rPr>
        <w:t>Resolução n</w:t>
      </w:r>
      <w:r>
        <w:rPr>
          <w:rFonts w:ascii="Times New Roman" w:hAnsi="Times New Roman"/>
          <w:sz w:val="22"/>
          <w:szCs w:val="22"/>
        </w:rPr>
        <w:t>.</w:t>
      </w:r>
      <w:r w:rsidR="003E7AF7" w:rsidRPr="003E7AF7">
        <w:rPr>
          <w:rFonts w:ascii="Times New Roman" w:hAnsi="Times New Roman"/>
          <w:sz w:val="22"/>
          <w:szCs w:val="22"/>
        </w:rPr>
        <w:t>º 218/73 do CONFEA</w:t>
      </w:r>
      <w:r w:rsidR="003E7AF7">
        <w:rPr>
          <w:rFonts w:ascii="Times New Roman" w:hAnsi="Times New Roman"/>
          <w:sz w:val="22"/>
          <w:szCs w:val="22"/>
        </w:rPr>
        <w:t>, que</w:t>
      </w:r>
      <w:r w:rsidR="003E7AF7" w:rsidRPr="003E7AF7">
        <w:rPr>
          <w:rFonts w:ascii="Times New Roman" w:hAnsi="Times New Roman"/>
          <w:sz w:val="22"/>
          <w:szCs w:val="22"/>
        </w:rPr>
        <w:t xml:space="preserve"> estabelece o limite de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atribuições de cada especialidade de engenharia, fazendo menção às obras que podem ser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executadas sob a condução de cada especialidade, e de acordo com o art. 8º, o profissional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responsável por Geradores de Energia, referentes à geração, transmissão, distribuição e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>utilização de energia elétrica é o Engenheiro Eletricista</w:t>
      </w:r>
      <w:r w:rsidR="003E7AF7">
        <w:rPr>
          <w:rFonts w:ascii="Times New Roman" w:hAnsi="Times New Roman"/>
          <w:sz w:val="22"/>
          <w:szCs w:val="22"/>
        </w:rPr>
        <w:t>;</w:t>
      </w:r>
      <w:r w:rsidR="003E7AF7" w:rsidRPr="003E7AF7">
        <w:rPr>
          <w:rFonts w:ascii="Times New Roman" w:hAnsi="Times New Roman"/>
          <w:sz w:val="22"/>
          <w:szCs w:val="22"/>
        </w:rPr>
        <w:t xml:space="preserve"> </w:t>
      </w:r>
    </w:p>
    <w:p w14:paraId="086F936B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B5A52D" w14:textId="407E1969" w:rsidR="00DA69B0" w:rsidRDefault="00DA69B0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Considerando que</w:t>
      </w:r>
      <w:r w:rsidR="003E7AF7" w:rsidRPr="003E7AF7">
        <w:rPr>
          <w:rFonts w:ascii="Times New Roman" w:hAnsi="Times New Roman"/>
          <w:sz w:val="22"/>
          <w:szCs w:val="22"/>
        </w:rPr>
        <w:t xml:space="preserve"> de acordo com as normas das concessionárias de energia, o gerador de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 xml:space="preserve">energia de 180kva se trata de um equipamento de média tensão, já que a baixa tensão é </w:t>
      </w:r>
      <w:r>
        <w:rPr>
          <w:rFonts w:ascii="Times New Roman" w:hAnsi="Times New Roman"/>
          <w:sz w:val="22"/>
          <w:szCs w:val="22"/>
        </w:rPr>
        <w:tab/>
      </w:r>
      <w:r w:rsidR="003E7AF7" w:rsidRPr="003E7AF7">
        <w:rPr>
          <w:rFonts w:ascii="Times New Roman" w:hAnsi="Times New Roman"/>
          <w:sz w:val="22"/>
          <w:szCs w:val="22"/>
        </w:rPr>
        <w:t>limitada a carga de 150kva</w:t>
      </w:r>
      <w:r>
        <w:rPr>
          <w:rFonts w:ascii="Times New Roman" w:hAnsi="Times New Roman"/>
          <w:sz w:val="22"/>
          <w:szCs w:val="22"/>
        </w:rPr>
        <w:t>;</w:t>
      </w:r>
      <w:r w:rsidR="003E7AF7" w:rsidRPr="003E7AF7">
        <w:rPr>
          <w:rFonts w:ascii="Times New Roman" w:hAnsi="Times New Roman"/>
          <w:sz w:val="22"/>
          <w:szCs w:val="22"/>
        </w:rPr>
        <w:t xml:space="preserve"> </w:t>
      </w:r>
    </w:p>
    <w:p w14:paraId="0079225A" w14:textId="77777777" w:rsidR="00DA69B0" w:rsidRDefault="00DA69B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2E981FF" w14:textId="1745BEE9" w:rsidR="00E1291A" w:rsidRDefault="003E7AF7" w:rsidP="008F38D1">
      <w:pPr>
        <w:jc w:val="both"/>
        <w:rPr>
          <w:rFonts w:ascii="Times New Roman" w:hAnsi="Times New Roman"/>
          <w:sz w:val="22"/>
          <w:szCs w:val="22"/>
        </w:rPr>
      </w:pPr>
      <w:r w:rsidRPr="003E7AF7">
        <w:rPr>
          <w:rFonts w:ascii="Times New Roman" w:hAnsi="Times New Roman"/>
          <w:sz w:val="22"/>
          <w:szCs w:val="22"/>
        </w:rPr>
        <w:t>Assim</w:t>
      </w:r>
      <w:r w:rsidR="00DA69B0">
        <w:rPr>
          <w:rFonts w:ascii="Times New Roman" w:hAnsi="Times New Roman"/>
          <w:sz w:val="22"/>
          <w:szCs w:val="22"/>
        </w:rPr>
        <w:t>,</w:t>
      </w:r>
      <w:r w:rsidRPr="003E7AF7">
        <w:rPr>
          <w:rFonts w:ascii="Times New Roman" w:hAnsi="Times New Roman"/>
          <w:sz w:val="22"/>
          <w:szCs w:val="22"/>
        </w:rPr>
        <w:t xml:space="preserve"> a CEP-CAU/BR entende que o grupo gerador não se enquadra nas atividades técnicas comtempladas pelo item 2.5.7 da Resolução</w:t>
      </w:r>
      <w:r w:rsidR="00DA69B0">
        <w:rPr>
          <w:rFonts w:ascii="Times New Roman" w:hAnsi="Times New Roman"/>
          <w:sz w:val="22"/>
          <w:szCs w:val="22"/>
        </w:rPr>
        <w:t xml:space="preserve"> n.º</w:t>
      </w:r>
      <w:r w:rsidRPr="003E7AF7">
        <w:rPr>
          <w:rFonts w:ascii="Times New Roman" w:hAnsi="Times New Roman"/>
          <w:sz w:val="22"/>
          <w:szCs w:val="22"/>
        </w:rPr>
        <w:t xml:space="preserve"> 21 do CAU/BR, pois não se trata de instalações “prediais” para distribuição de energia em uma edificação, e sim gerar energia elétrica para alimentar equipamentos em uma praça pública, em um espaço urbano. Não se trata ainda de execução de instalação elétrica, e sim Geração de Energia Elétrica</w:t>
      </w:r>
      <w:r w:rsidR="00DA69B0">
        <w:rPr>
          <w:rFonts w:ascii="Times New Roman" w:hAnsi="Times New Roman"/>
          <w:sz w:val="22"/>
          <w:szCs w:val="22"/>
        </w:rPr>
        <w:t>;</w:t>
      </w:r>
    </w:p>
    <w:p w14:paraId="096516DA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DB6F20E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E1291A">
        <w:rPr>
          <w:rFonts w:ascii="Times New Roman" w:hAnsi="Times New Roman"/>
          <w:sz w:val="22"/>
          <w:szCs w:val="22"/>
        </w:rPr>
        <w:t>Carlos Eduardo Estrela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23C23825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CF0B363" w14:textId="691ED5E6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F00B8FC" w14:textId="69B99C2D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A958A5" w14:textId="77777777" w:rsidR="00DA69B0" w:rsidRDefault="00DA69B0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BA4958D" w14:textId="77777777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2E916FF9" w14:textId="27F4061E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 pel</w:t>
      </w:r>
      <w:r w:rsidR="00E1291A">
        <w:rPr>
          <w:rFonts w:ascii="Times New Roman" w:eastAsia="Verdana" w:hAnsi="Times New Roman"/>
          <w:sz w:val="22"/>
          <w:szCs w:val="22"/>
        </w:rPr>
        <w:t>o SOBRESTAMENTO do processo até a resolução da matéria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885819C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</w:t>
      </w:r>
      <w:r w:rsidR="00DA69B0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A69B0">
        <w:rPr>
          <w:rFonts w:ascii="Times New Roman" w:eastAsia="Verdana" w:hAnsi="Times New Roman"/>
          <w:sz w:val="22"/>
          <w:szCs w:val="22"/>
        </w:rPr>
        <w:t>dez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7777777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169EA1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D7191B3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40C2C2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5E0EDC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41A2BFC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912B8F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EA0949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416DAF4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A78C5F6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C0D59DA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92B677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9CFA39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7EF75F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281D6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5D16FC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A4C62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F837660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CED584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3C50CD1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CD6B41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5CCE9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49243EB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F10BDC2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972C34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076DB458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DA69B0"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021ABB0" w:rsidR="00AE42B4" w:rsidRPr="00AE42B4" w:rsidRDefault="00DA69B0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746682E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ED796C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93B5EE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69B0">
              <w:rPr>
                <w:rFonts w:ascii="Times New Roman" w:hAnsi="Times New Roman"/>
                <w:sz w:val="22"/>
                <w:szCs w:val="22"/>
              </w:rPr>
              <w:t>EXORBITÂNCIA DE ATRIBUIÇÃO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AAE49" w14:textId="77777777" w:rsidR="00905FEA" w:rsidRDefault="00905FEA" w:rsidP="00EE4FDD">
      <w:r>
        <w:separator/>
      </w:r>
    </w:p>
  </w:endnote>
  <w:endnote w:type="continuationSeparator" w:id="0">
    <w:p w14:paraId="49FA431D" w14:textId="77777777" w:rsidR="00905FEA" w:rsidRDefault="00905F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4A90B" w14:textId="77777777" w:rsidR="00905FEA" w:rsidRDefault="00905FEA" w:rsidP="00EE4FDD">
      <w:r>
        <w:separator/>
      </w:r>
    </w:p>
  </w:footnote>
  <w:footnote w:type="continuationSeparator" w:id="0">
    <w:p w14:paraId="49F8051F" w14:textId="77777777" w:rsidR="00905FEA" w:rsidRDefault="00905F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905FE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70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77B50DF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FB6FD9">
            <w:rPr>
              <w:rFonts w:ascii="Times New Roman" w:eastAsia="Verdana" w:hAnsi="Times New Roman"/>
              <w:sz w:val="22"/>
              <w:szCs w:val="22"/>
            </w:rPr>
            <w:t>622184/2017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BD01C39" w:rsidR="00BC3B36" w:rsidRPr="006563E8" w:rsidRDefault="00E81B9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DCD49BE" w:rsidR="00BC3B36" w:rsidRPr="00986306" w:rsidRDefault="00DA69B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DA69B0">
            <w:rPr>
              <w:rFonts w:ascii="Times New Roman" w:hAnsi="Times New Roman"/>
              <w:sz w:val="22"/>
              <w:szCs w:val="22"/>
            </w:rPr>
            <w:t>EXORBITÂNCIA DE ATRIBUIÇÃO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4FD921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FB6FD9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905FE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5FEA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B9A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602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44</cp:revision>
  <cp:lastPrinted>2021-09-24T17:14:00Z</cp:lastPrinted>
  <dcterms:created xsi:type="dcterms:W3CDTF">2020-11-12T18:59:00Z</dcterms:created>
  <dcterms:modified xsi:type="dcterms:W3CDTF">2022-04-01T20:19:00Z</dcterms:modified>
</cp:coreProperties>
</file>