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55118C1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BE41BB">
        <w:rPr>
          <w:rFonts w:ascii="Times New Roman" w:eastAsia="Verdana" w:hAnsi="Times New Roman"/>
          <w:sz w:val="22"/>
          <w:szCs w:val="22"/>
        </w:rPr>
        <w:t>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4CD4EAC" w14:textId="3A9521EC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 xml:space="preserve">Trata-se de processo de supostas irregularidades em obra de reforma localizada na </w:t>
      </w:r>
      <w:r w:rsidR="008F22D8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D7300F">
        <w:rPr>
          <w:rFonts w:ascii="Times New Roman" w:hAnsi="Times New Roman"/>
          <w:sz w:val="22"/>
          <w:szCs w:val="22"/>
        </w:rPr>
        <w:t>. O processo originou-se a partir da denúncia nº 19755 apresentada ao CAU/DF no dia 19 de setembro de 2018</w:t>
      </w:r>
      <w:r>
        <w:rPr>
          <w:rFonts w:ascii="Times New Roman" w:hAnsi="Times New Roman"/>
          <w:sz w:val="22"/>
          <w:szCs w:val="22"/>
        </w:rPr>
        <w:t>;</w:t>
      </w:r>
    </w:p>
    <w:p w14:paraId="58B8D8BA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57BF122" w14:textId="579B6698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Foi realizada ação de fiscalização no dia 11 de janeiro de 2019, quando se constatou que a obra se encontrava em fase de acabamento (folha nº07)</w:t>
      </w:r>
      <w:r>
        <w:rPr>
          <w:rFonts w:ascii="Times New Roman" w:hAnsi="Times New Roman"/>
          <w:sz w:val="22"/>
          <w:szCs w:val="22"/>
        </w:rPr>
        <w:t>;</w:t>
      </w:r>
      <w:r w:rsidRPr="00D7300F">
        <w:rPr>
          <w:rFonts w:ascii="Times New Roman" w:hAnsi="Times New Roman"/>
          <w:sz w:val="22"/>
          <w:szCs w:val="22"/>
        </w:rPr>
        <w:t xml:space="preserve"> </w:t>
      </w:r>
    </w:p>
    <w:p w14:paraId="31871FC2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066021B" w14:textId="128214D4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 xml:space="preserve">Não foi localizada no Sistema de Informação e Comunicação do CAU – SICCAU – nenhum Registro de Responsabilidade Técnica (RRT) referente à obra denunciada e verificou-se a existência da ART nº 0720180066873, de “projeto de arquitetura edificação de alvenaria” (folha nº 08), em nome do responsável técnico </w:t>
      </w:r>
      <w:r w:rsidR="008F22D8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="008F22D8" w:rsidRPr="00D7300F">
        <w:rPr>
          <w:rFonts w:ascii="Times New Roman" w:hAnsi="Times New Roman"/>
          <w:sz w:val="22"/>
          <w:szCs w:val="22"/>
        </w:rPr>
        <w:t xml:space="preserve"> </w:t>
      </w:r>
      <w:r w:rsidR="008F22D8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="008F22D8" w:rsidRPr="00D7300F">
        <w:rPr>
          <w:rFonts w:ascii="Times New Roman" w:hAnsi="Times New Roman"/>
          <w:sz w:val="22"/>
          <w:szCs w:val="22"/>
        </w:rPr>
        <w:t xml:space="preserve"> </w:t>
      </w:r>
      <w:r w:rsidRPr="00D7300F">
        <w:rPr>
          <w:rFonts w:ascii="Times New Roman" w:hAnsi="Times New Roman"/>
          <w:sz w:val="22"/>
          <w:szCs w:val="22"/>
        </w:rPr>
        <w:t xml:space="preserve">(CREA </w:t>
      </w:r>
      <w:r w:rsidR="008F22D8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Pr="00D7300F">
        <w:rPr>
          <w:rFonts w:ascii="Times New Roman" w:hAnsi="Times New Roman"/>
          <w:sz w:val="22"/>
          <w:szCs w:val="22"/>
        </w:rPr>
        <w:t xml:space="preserve">). No Registro de Responsabilidade Técnica (RRT) consta como contratante a pessoa física de </w:t>
      </w:r>
      <w:r w:rsidR="008F22D8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D7300F">
        <w:rPr>
          <w:rFonts w:ascii="Times New Roman" w:hAnsi="Times New Roman"/>
          <w:sz w:val="22"/>
          <w:szCs w:val="22"/>
        </w:rPr>
        <w:t xml:space="preserve"> e contrato celebrado em 02</w:t>
      </w:r>
      <w:r w:rsidR="00E1291A">
        <w:rPr>
          <w:rFonts w:ascii="Times New Roman" w:hAnsi="Times New Roman"/>
          <w:sz w:val="22"/>
          <w:szCs w:val="22"/>
        </w:rPr>
        <w:t xml:space="preserve"> de outubro de </w:t>
      </w:r>
      <w:r w:rsidRPr="00D7300F">
        <w:rPr>
          <w:rFonts w:ascii="Times New Roman" w:hAnsi="Times New Roman"/>
          <w:sz w:val="22"/>
          <w:szCs w:val="22"/>
        </w:rPr>
        <w:t>2018</w:t>
      </w:r>
      <w:r>
        <w:rPr>
          <w:rFonts w:ascii="Times New Roman" w:hAnsi="Times New Roman"/>
          <w:sz w:val="22"/>
          <w:szCs w:val="22"/>
        </w:rPr>
        <w:t>;</w:t>
      </w:r>
      <w:r w:rsidRPr="00D7300F">
        <w:rPr>
          <w:rFonts w:ascii="Times New Roman" w:hAnsi="Times New Roman"/>
          <w:sz w:val="22"/>
          <w:szCs w:val="22"/>
        </w:rPr>
        <w:t xml:space="preserve"> </w:t>
      </w:r>
    </w:p>
    <w:p w14:paraId="08978887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794C848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Considerando não ter sido possível localizar, no Sistema de Informação e Comunicação do CAU – SICCAU, o registro profissional da obra referida</w:t>
      </w:r>
      <w:r>
        <w:rPr>
          <w:rFonts w:ascii="Times New Roman" w:hAnsi="Times New Roman"/>
          <w:sz w:val="22"/>
          <w:szCs w:val="22"/>
        </w:rPr>
        <w:t>;</w:t>
      </w:r>
    </w:p>
    <w:p w14:paraId="742540D2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FF1F259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Considerando que é exercício ilegal da profissão de Arquiteto e Urbanista exercer, promover, divulgar que exerce ou oferecer atividade fiscalizada pelo Conselho de Arquitetura e Urbanismo, sem registro no CAU</w:t>
      </w:r>
      <w:r>
        <w:rPr>
          <w:rFonts w:ascii="Times New Roman" w:hAnsi="Times New Roman"/>
          <w:sz w:val="22"/>
          <w:szCs w:val="22"/>
        </w:rPr>
        <w:t>;</w:t>
      </w:r>
      <w:r w:rsidRPr="00D7300F">
        <w:rPr>
          <w:rFonts w:ascii="Times New Roman" w:hAnsi="Times New Roman"/>
          <w:sz w:val="22"/>
          <w:szCs w:val="22"/>
        </w:rPr>
        <w:t xml:space="preserve"> </w:t>
      </w:r>
    </w:p>
    <w:p w14:paraId="2999F8AF" w14:textId="77777777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68DDDC8" w14:textId="77777777" w:rsidR="00E1291A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Considerando que a Resolução n° 51, editada pelo CAU/BR, em 12 de julho de 2013, limita-se a especificar como áreas de atuação privativa dos arquitetos e urbanistas aquelas que foram historicamente reconhecidas como de sua alçada, baseada nas diretrizes curriculares nacionais dos cursos de Arquitetura e Urbanismo, como são as atividades relativas ao projeto arquitetônico, urbanístico e paisagístico, à conservação e valorização do patrimônio construído, dentre outras</w:t>
      </w:r>
      <w:r w:rsidR="00E1291A">
        <w:rPr>
          <w:rFonts w:ascii="Times New Roman" w:hAnsi="Times New Roman"/>
          <w:sz w:val="22"/>
          <w:szCs w:val="22"/>
        </w:rPr>
        <w:t>;</w:t>
      </w:r>
    </w:p>
    <w:p w14:paraId="4CB0ED8F" w14:textId="77777777" w:rsidR="00E1291A" w:rsidRDefault="00E1291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6E38D5B" w14:textId="77777777" w:rsidR="00E1291A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 xml:space="preserve">Considerando a Deliberação Plenária do CAU/BR DPEBR nº 0006-03/2019, que aprova o acordo entre a Comissão Temporária para Harmonização do Exercício Profissional (CTHEP) do CAU/BR e a Comissão Temática de Harmonização Interconselhos (CTHI) do CONFEA, para apresentação de emenda substitutiva ao PL 9818/2018 na CTASP – Comissão de Trabalho, Administração e Serviço Público da Câmara dos Deputados; </w:t>
      </w:r>
    </w:p>
    <w:p w14:paraId="2C946EC1" w14:textId="77777777" w:rsidR="00E1291A" w:rsidRDefault="00E1291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DFD3077" w14:textId="5569B249" w:rsidR="00F8062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Considerando a Deliberação Plenária DPABR Nº 0037-01/2021 publicada no sítio eletrônico do CAU/BR no dia 27 de setembro de 2021, que aprova o projeto de resolução que altera a Resolução CAU/BR nº 51/2013, quanto às áreas de atuação dos arquitetos e urbanistas para o exercício profissional da Arquitetura e Urbanismo no Brasil;</w:t>
      </w:r>
    </w:p>
    <w:p w14:paraId="52E981FF" w14:textId="77777777" w:rsidR="00E1291A" w:rsidRDefault="00E1291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DB6F20E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E1291A">
        <w:rPr>
          <w:rFonts w:ascii="Times New Roman" w:hAnsi="Times New Roman"/>
          <w:sz w:val="22"/>
          <w:szCs w:val="22"/>
        </w:rPr>
        <w:t>Carlos Eduardo Estrela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23C23825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CF0B363" w14:textId="691ED5E6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F00B8FC" w14:textId="39C592FC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BA4958D" w14:textId="77777777" w:rsidR="00E1291A" w:rsidRDefault="00E1291A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2E916FF9" w14:textId="27F4061E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 pel</w:t>
      </w:r>
      <w:r w:rsidR="00E1291A">
        <w:rPr>
          <w:rFonts w:ascii="Times New Roman" w:eastAsia="Verdana" w:hAnsi="Times New Roman"/>
          <w:sz w:val="22"/>
          <w:szCs w:val="22"/>
        </w:rPr>
        <w:t>o SOBRESTAMENTO do processo até a resolução da matéria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D9103B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7777777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169EA1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D7191B3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40C2C2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5E0EDC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41A2BFC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912B8F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EA0949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416DAF4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A78C5F6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C0D59DA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92B677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9CFA39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7EF75F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281D6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5D16FC8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A4C62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F837660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CED5849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3C50CD1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CD6B41E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5CCE97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49243EB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F10BDC2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972C34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22BA2581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A67FAFF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C8BE8A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BA64FC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577F573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E1E56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51E19" w14:textId="77777777" w:rsidR="00F67568" w:rsidRDefault="00F67568" w:rsidP="00EE4FDD">
      <w:r>
        <w:separator/>
      </w:r>
    </w:p>
  </w:endnote>
  <w:endnote w:type="continuationSeparator" w:id="0">
    <w:p w14:paraId="041F9E39" w14:textId="77777777" w:rsidR="00F67568" w:rsidRDefault="00F6756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64B2" w14:textId="77777777" w:rsidR="00F67568" w:rsidRDefault="00F67568" w:rsidP="00EE4FDD">
      <w:r>
        <w:separator/>
      </w:r>
    </w:p>
  </w:footnote>
  <w:footnote w:type="continuationSeparator" w:id="0">
    <w:p w14:paraId="724BCA91" w14:textId="77777777" w:rsidR="00F67568" w:rsidRDefault="00F6756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F6756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45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EB5D2E0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D7300F">
            <w:rPr>
              <w:rFonts w:ascii="Times New Roman" w:eastAsia="Verdana" w:hAnsi="Times New Roman"/>
              <w:sz w:val="22"/>
              <w:szCs w:val="22"/>
            </w:rPr>
            <w:t>801004/2019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22B8E40" w:rsidR="00BC3B36" w:rsidRPr="006563E8" w:rsidRDefault="008F22D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3159650" w:rsidR="00BC3B36" w:rsidRPr="00986306" w:rsidRDefault="00135221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135221"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932273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D7300F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F6756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22D8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67568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626</Words>
  <Characters>3385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42</cp:revision>
  <cp:lastPrinted>2021-09-24T17:14:00Z</cp:lastPrinted>
  <dcterms:created xsi:type="dcterms:W3CDTF">2020-11-12T18:59:00Z</dcterms:created>
  <dcterms:modified xsi:type="dcterms:W3CDTF">2022-04-01T20:15:00Z</dcterms:modified>
</cp:coreProperties>
</file>