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keepNext w:val="false"/>
        <w:keepLines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r>
    </w:p>
    <w:tbl>
      <w:tblPr>
        <w:tblStyle w:val="Table1"/>
        <w:tblW w:w="906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8"/>
        <w:gridCol w:w="2762"/>
        <w:gridCol w:w="1604"/>
        <w:gridCol w:w="2420"/>
      </w:tblGrid>
      <w:tr>
        <w:trPr/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DATA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278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8 de março de 2021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HORÁRIO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12h00 às 14h00</w:t>
            </w:r>
          </w:p>
        </w:tc>
      </w:tr>
      <w:tr>
        <w:trPr>
          <w:trHeight w:val="94" w:hRule="atLeast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LOCAL</w:t>
            </w:r>
          </w:p>
        </w:tc>
        <w:tc>
          <w:tcPr>
            <w:tcW w:w="6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Videoconferência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2"/>
        <w:tblW w:w="905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6"/>
        <w:gridCol w:w="4354"/>
        <w:gridCol w:w="2420"/>
      </w:tblGrid>
      <w:tr>
        <w:trPr>
          <w:trHeight w:val="240" w:hRule="atLeast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PARTICIPANTES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  <w:t>Nelton Keti Borges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Coordenador</w:t>
            </w:r>
          </w:p>
        </w:tc>
      </w:tr>
      <w:tr>
        <w:trPr>
          <w:trHeight w:val="240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highlight w:val="white"/>
              </w:rPr>
            </w:pPr>
            <w:r>
              <w:rPr>
                <w:highlight w:val="white"/>
              </w:rPr>
              <w:t>Luis Fernando Zeferino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highlight w:val="white"/>
              </w:rPr>
            </w:pPr>
            <w:r>
              <w:rPr>
                <w:highlight w:val="white"/>
              </w:rPr>
              <w:t>Coordenador-adjunt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  <w:t>o</w:t>
            </w:r>
          </w:p>
        </w:tc>
      </w:tr>
      <w:tr>
        <w:trPr>
          <w:trHeight w:val="240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Luiz Caio Avila Diniz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>
        <w:trPr>
          <w:trHeight w:val="240" w:hRule="atLeast"/>
        </w:trPr>
        <w:tc>
          <w:tcPr>
            <w:tcW w:w="227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Pedro de Almeida Grilo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Membro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CONVIDADOS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Mônica Andréa Blanco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Presidente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Flávio Soares Oliveira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Gerente Geral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Flávia Matos Dourado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Assessora Especial da Presidência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Anderson Viana de Paula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Gerente de administração e finanças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Rafael Levi Amaral Santos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Analista financeiro-contábil</w:t>
            </w:r>
          </w:p>
        </w:tc>
      </w:tr>
      <w:tr>
        <w:trPr>
          <w:trHeight w:val="94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ASSESSORIA</w:t>
            </w: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Flávia Fernandes Queiroz</w:t>
            </w:r>
          </w:p>
        </w:tc>
      </w:tr>
      <w:tr>
        <w:trPr>
          <w:trHeight w:val="94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SECRETARIADO</w:t>
            </w: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Juliana Severo dos Santos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3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Verificação do quórum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Houve quórum necessário para realização da reunião. A conselheira Jéssica Costa Spehar justificou a sua ausência.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4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Apresentação da pauta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A pauta foi apresentada e </w:t>
            </w:r>
            <w:r>
              <w:rPr/>
              <w:t>aprovada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/>
              <w:t xml:space="preserve">por unanimidade, com a retirada do item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6</w:t>
            </w:r>
            <w:r>
              <w:rPr/>
              <w:t xml:space="preserve"> –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Levantamento de dados sobre logística da fiscalização e acréscimo do item 4 – Revisão do Organograma do CAU/DF.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left"/>
        <w:rPr/>
      </w:pPr>
      <w:r>
        <w:rPr/>
      </w:r>
    </w:p>
    <w:tbl>
      <w:tblPr>
        <w:tblStyle w:val="Table5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/>
            </w:pPr>
            <w:r>
              <w:rPr>
                <w:b/>
              </w:rPr>
              <w:t xml:space="preserve">Aprovação da súmula da 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  <w:r>
              <w:rPr>
                <w:b/>
              </w:rPr>
              <w:t>ª Reunião Ordinária de 202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  <w:t>A súmula foi aprovada por unanimidade.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tbl>
      <w:tblPr>
        <w:tblStyle w:val="Table6"/>
        <w:tblW w:w="9053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Informes da coordenação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Apresentação do relatório de arrecadação x despesa – fevereiro de 2021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Gerência financeira – GERFIN-CAU/DF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lang w:val="pt-BR"/>
              </w:rPr>
              <w:t xml:space="preserve">O analista financeiro-contábil Rafael Levi Amaral Santos relatou que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estava em período de férias e não teve tempo hábil para finalizar o relatório e, por tanto, </w:t>
            </w:r>
            <w:r>
              <w:rPr>
                <w:lang w:val="pt-BR"/>
              </w:rPr>
              <w:t>encaminhará a apresentação aos conselheiros posteriormente.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lang w:val="pt-BR"/>
              </w:rPr>
            </w:pPr>
            <w:r>
              <w:rPr>
                <w:lang w:val="pt-BR"/>
              </w:rPr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6"/>
        <w:tblW w:w="9053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Ordem do dia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lang w:val="pt-BR"/>
              </w:rPr>
              <w:t>Revisão do Organograma do CAU/DF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  <w:lang w:val="pt-BR"/>
              </w:rPr>
              <w:t>Presidência CAU/DF</w:t>
            </w:r>
          </w:p>
        </w:tc>
      </w:tr>
      <w:tr>
        <w:trPr>
          <w:trHeight w:val="3536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A presidente Mônica Andréa Blanco apresentou aos membros da CAF-CAU/DF a proposta de alteração do organograma do CAU/DF, conforme apresentada em reunião do Conselho Diretor. Informou que a alteração atende a duas demandas importantes: melhorar a comunicação do CAU/DF com a sociedade e a exigência de que o gerente de fiscalização tenha formação em arquitetura.  Explicou que a alteração no organograma permitirá seccionar a Gerência de Fiscalização e Atendimento em duas, retomando a antiga Gerência de Fiscalização e criando a Gerência de Atendimento. Informou que a própria equipe de fiscalização escolheu o analista arquiteto Ricardo Suriani como gerente de fiscalização e a presidência do CAU/DF indicou o colaborador Cristiano Ramalho para o cargo de gerente de atendimento. O coordenador Nelton Keti Borges destacou o impacto financeiro que a criação de uma nova gerência causará no orçamento do CAU/DF e também na proposta de Plano de Empregos, Carreiras e Salários. O gerente de administração e finanças Anderson Viana de Paula esclareceu que, considerando o</w:t>
            </w:r>
            <w:r>
              <w:rPr/>
              <w:t xml:space="preserve"> </w:t>
            </w:r>
            <w:r>
              <w:rPr>
                <w:sz w:val="23"/>
              </w:rPr>
              <w:t>TCU - Acórdão 38/2013 – Plenário e o Art. 70 CF/88, é preciso segregar o setor financeiro da assessoria contábil através da criação da assessoria financeira. A CAF-CAU/DF debateu sobre o tema e propôs que a criação da assessoria financeira seja feita posteriormente, após estudo de impacto financeiro.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r>
          </w:p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b/>
              </w:rPr>
              <w:t>Deliberação n.º 0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01</w:t>
            </w:r>
            <w:r>
              <w:rPr>
                <w:b/>
              </w:rPr>
              <w:t>/202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  <w:r>
              <w:rPr>
                <w:b/>
              </w:rPr>
              <w:t xml:space="preserve"> – CAF-CAU/DF, que deliberou: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  <w:t>1- Pela aprovação do organograma apresentado, com posterior envio ao Plenário do CAU/DF para apreciação e aprovação.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2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Apresentação do Plano de Ação 2021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Gerência financeira – GERFIN-CAU/DF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lang w:val="pt-BR"/>
              </w:rPr>
              <w:t>O analista financeiro-contábil Rafael Levi Amaral Santos apresentou, resumidamente, os principais pontos do Plano de Ação e Orçamento 2021 do CAU/DF como o mapa estratégico, participações das anuidades e d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</w:t>
            </w:r>
            <w:r>
              <w:rPr>
                <w:lang w:val="pt-BR"/>
              </w:rPr>
              <w:t xml:space="preserve">s RRTs nas receitas do conselho, perspectiva de evolução de receitas em 2021 e os principais projetos e despesas. O gerente de fiscalização e atendimento Cristiano Ramalho explicou, brevemente, sobre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 processo</w:t>
            </w:r>
            <w:r>
              <w:rPr>
                <w:lang w:val="pt-BR"/>
              </w:rPr>
              <w:t xml:space="preserve"> de fiscalização e sobre a arrecadação de taxas e multas. O coordenador Nelton Keti Borges solicitou que seja enviado a todos os conselheiros da CAF-CAU/DF a planilha completa da programação orçamentária para o exercício de 2021.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lang w:val="pt-BR"/>
              </w:rPr>
            </w:pPr>
            <w:r>
              <w:rPr>
                <w:lang w:val="pt-BR"/>
              </w:rPr>
            </w:r>
          </w:p>
        </w:tc>
      </w:tr>
    </w:tbl>
    <w:p>
      <w:pPr>
        <w:pStyle w:val="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3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2ª etapa da obra da sede do CAU/DF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  <w:lang w:val="pt-BR"/>
              </w:rPr>
              <w:t>CAF-CAU/DF</w:t>
            </w:r>
          </w:p>
        </w:tc>
      </w:tr>
      <w:tr>
        <w:trPr>
          <w:trHeight w:val="1725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 coordenador Nelton Keti Borges informou que o conselheiro Luiz Caio Avila Diniz irá compor uma equipe de trabalho que irá avaliar quais são as demandas de reforma mais importantes e ajudará a organizar o escopo da 2ª etapa da obra de reforma da sede do CAU/DF.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b/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</w:r>
    </w:p>
    <w:tbl>
      <w:tblPr>
        <w:tblStyle w:val="Table7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4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Apresentação do Plano de Empregos, Carreiras e Salários – 2021 a 2023.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Gerência financeira – GERFIN-CAU/DF</w:t>
            </w:r>
          </w:p>
        </w:tc>
      </w:tr>
      <w:tr>
        <w:trPr>
          <w:trHeight w:val="1725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 coordenador Nelton Keti Borges solicitou ao analista financeiro-contábil Rafael Levi Amaral Santos que encaminhe a apresentação por e-mail a todos os membros da CAF-CAU/DF e informou que talvez seja necessário convocar uma reunião extraordinária da CAF-CAU/DF para tratar sobre o Plano de Empregos, Carreiras e Salários  do CAU/DF.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b/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</w:r>
    </w:p>
    <w:tbl>
      <w:tblPr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Distribuição de processos</w:t>
            </w:r>
          </w:p>
        </w:tc>
      </w:tr>
    </w:tbl>
    <w:p>
      <w:pPr>
        <w:pStyle w:val="Normal"/>
        <w:suppressLineNumbers/>
        <w:tabs>
          <w:tab w:val="clear" w:pos="720"/>
          <w:tab w:val="left" w:pos="309" w:leader="none"/>
          <w:tab w:val="right" w:pos="9354" w:leader="none"/>
        </w:tabs>
        <w:rPr>
          <w:b/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</w:r>
    </w:p>
    <w:tbl>
      <w:tblPr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6945"/>
      </w:tblGrid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Protocolo SICCAU n.º 1230924/2021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fill="FFFFFF" w:val="clear"/>
              </w:rPr>
              <w:t>Conselheiro Nelton Keti Borges</w:t>
            </w:r>
          </w:p>
        </w:tc>
      </w:tr>
    </w:tbl>
    <w:p>
      <w:pPr>
        <w:pStyle w:val="Normal"/>
        <w:suppressLineNumbers/>
        <w:tabs>
          <w:tab w:val="clear" w:pos="720"/>
          <w:tab w:val="left" w:pos="309" w:leader="none"/>
          <w:tab w:val="right" w:pos="9354" w:leader="none"/>
        </w:tabs>
        <w:rPr>
          <w:b/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</w:r>
    </w:p>
    <w:tbl>
      <w:tblPr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6945"/>
      </w:tblGrid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Protocolo SICCAU n.º 1205212/2020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fill="FFFFFF" w:val="clear"/>
              </w:rPr>
              <w:t>Conselheiro Nelton Keti Borges</w:t>
            </w:r>
          </w:p>
        </w:tc>
      </w:tr>
    </w:tbl>
    <w:p>
      <w:pPr>
        <w:pStyle w:val="Normal"/>
        <w:suppressLineNumbers/>
        <w:tabs>
          <w:tab w:val="clear" w:pos="720"/>
          <w:tab w:val="left" w:pos="309" w:leader="none"/>
          <w:tab w:val="right" w:pos="9354" w:leader="none"/>
        </w:tabs>
        <w:rPr>
          <w:b/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</w:r>
    </w:p>
    <w:tbl>
      <w:tblPr>
        <w:tblStyle w:val="Table8"/>
        <w:tblW w:w="9053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Informes da gerência geral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9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</w:rPr>
              <w:t>Informes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Gerência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Geral – GERGER-CAU/DF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/>
              <w:t xml:space="preserve">O gerente geral Flávio Soares Oliveira </w:t>
            </w: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fez os seguintes informes: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/>
            </w:r>
          </w:p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a.</w:t>
              <w:tab/>
              <w:t>Em breve ocorrerá uma nova reunião para alinhamentos do Convênio com UNICEF, OTCA e CAU/DF para pagamento das taxas do condomínio do edifício da 510 Norte;</w:t>
              <w:br/>
              <w:br/>
              <w:t>b.</w:t>
              <w:tab/>
              <w:t>A reunião dos gerentes gerais dos CAU/UF ocorreu no início de março, destacou a demanda antiga de possibilidade de pagamentos ao CAU através de cartões de crédito;</w:t>
              <w:br/>
              <w:t xml:space="preserve"> </w:t>
              <w:br/>
              <w:t>c.</w:t>
              <w:tab/>
              <w:t>Reunião preliminar do GT para modernização de pagamentos no início de março. Registro de pagamentos no SICCAU. Empresas que deverão participar: CIELO (Banco do Brasil e Bradesco), REDE (ITAU), GETNET e PAG SEGURO. Em uma reunião que acontecerá no dia 11 de março será minutado um Termo de Referência para Licitação. Contratação de sistema complementar de conciliação bancária x pagante;</w:t>
              <w:br/>
              <w:br/>
              <w:t>d.</w:t>
              <w:tab/>
              <w:t>Informou sobre a flexibilização dos limites no Plano de Ação para 2021, em especial da folha de pagamento dos colaborades;</w:t>
              <w:br/>
              <w:br/>
              <w:t>e.</w:t>
              <w:tab/>
              <w:t>Comunicou sobre o Ofício circular nº 009/2021-CAU/BR - Encaminhamento da Deliberação n° 002/2021 – CPFI-CAU/BR referente aos impactos da suspensão do reajuste de anuidades e RRTs para análise e acompanhamento;</w:t>
              <w:br/>
              <w:br/>
              <w:t>f.</w:t>
              <w:tab/>
              <w:t>Planilha de Contingenciamento Gerencial</w:t>
              <w:br/>
              <w:t xml:space="preserve">com redução sugerida de 5,7 % (R$ 196.300,00) </w:t>
              <w:br/>
              <w:t>Principais despesas contingenciadas: gêneros alimentícios, aquisição informática, divulgação, estagiários, passagens e diárias.</w:t>
              <w:br/>
              <w:br/>
              <w:t>e.</w:t>
              <w:tab/>
              <w:t xml:space="preserve">Cancelamento do reajuste de anuidades e RRTs: o CAU/BR formalizará os procedimentos a serem seguidos quanto aos ressarcimentos. Destacou os seguintes pontos: </w:t>
              <w:br/>
              <w:br/>
              <w:t>1. O CAU/BR publicará a deliberação do cancelamento;</w:t>
              <w:br/>
              <w:t>2. O CAU/BR divulgará os procedimentos via RIA (Rede Integrada de Atendimento);</w:t>
              <w:br/>
              <w:t>3. O CSC relacionará lista de profissionais a serem ressarcidos por CAU/UF.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10"/>
        <w:tblW w:w="9053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Assuntos gerais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11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 conselheiro Pedro de Almeida Grilo relatou que, considerando o avanço da epidemia de Covid-19 no Distrito Federal, seria prudente suspender o atendimento presencial ao público na sede do CAU/DF. A presidente Mônica Andréa Blanco informou que a medida será estudada.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b/>
          <w:b/>
        </w:rPr>
      </w:pPr>
      <w:r>
        <w:rPr>
          <w:b/>
        </w:rPr>
        <w:t xml:space="preserve">Considerando a conjuntura epidemiológica e reuniões deliberativas virtuais decorrentes, atesto a veracidade e a autenticidade das informações prestadas. 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b/>
          <w:b/>
        </w:rPr>
      </w:pPr>
      <w:r>
        <w:rPr>
          <w:b/>
        </w:rPr>
        <w:t>Nelton Keti Borges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/>
        <w:t xml:space="preserve">Coordenador da CAF-CAU/DF 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851" w:header="142" w:top="513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Impact">
    <w:charset w:val="00"/>
    <w:family w:val="swiss"/>
    <w:pitch w:val="variable"/>
  </w:font>
  <w:font w:name="Calibri Light">
    <w:charset w:val="00"/>
    <w:family w:val="swiss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Georgia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left" w:pos="897" w:leader="none"/>
        <w:tab w:val="center" w:pos="4107" w:leader="none"/>
      </w:tabs>
      <w:spacing w:lineRule="auto" w:line="360"/>
      <w:ind w:left="-1701" w:right="-569" w:hanging="0"/>
      <w:jc w:val="right"/>
      <w:rPr>
        <w:rFonts w:ascii="DaxCondensed-Regular" w:hAnsi="DaxCondensed-Regular" w:eastAsia="DaxCondensed-Regular" w:cs="DaxCondensed-Regular"/>
        <w:color w:val="1C3942"/>
        <w:position w:val="0"/>
        <w:sz w:val="24"/>
        <w:sz w:val="18"/>
        <w:szCs w:val="18"/>
        <w:vertAlign w:val="baseline"/>
      </w:rPr>
    </w:pPr>
    <w: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-1155700</wp:posOffset>
              </wp:positionH>
              <wp:positionV relativeFrom="paragraph">
                <wp:posOffset>-63500</wp:posOffset>
              </wp:positionV>
              <wp:extent cx="7689215" cy="2730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8520" cy="2664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cap="sq" w="19075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SEPN 510 - bloco A – Térreo e subsolo | CEP 70.750-521|  Brasília-DF | Telefone: (61) 3222-5176     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6"/>
        <w:sz w:val="16"/>
        <w:szCs w:val="16"/>
        <w:vertAlign w:val="baseline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LOnormal"/>
      <w:ind w:right="-7" w:hanging="0"/>
      <w:jc w:val="center"/>
      <w:rPr>
        <w:position w:val="0"/>
        <w:sz w:val="24"/>
        <w:sz w:val="24"/>
        <w:vertAlign w:val="baseline"/>
      </w:rPr>
    </w:pP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 </w:t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8"/>
        <w:sz w:val="18"/>
        <w:szCs w:val="18"/>
        <w:vertAlign w:val="baseline"/>
      </w:rPr>
      <w:t>www.caudf.gov.br | atendimento@caudf.gov.br</w:t>
    </w:r>
  </w:p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DaxCondensed-Regular" w:hAnsi="DaxCondensed-Regular" w:eastAsia="DaxCondensed-Regular" w:cs="DaxCondensed-Regular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DaxCondensed-Regular" w:cs="DaxCondensed-Regular" w:ascii="DaxCondensed-Regular" w:hAnsi="DaxCondensed-Regular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-1701" w:right="14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-1701" w:right="14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1"/>
        <w:szCs w:val="21"/>
        <w:u w:val="none"/>
        <w:shd w:fill="auto" w:val="clear"/>
        <w:vertAlign w:val="baseline"/>
      </w:rPr>
    </w:pPr>
    <w:r>
      <w:rPr/>
      <w:object>
        <v:shape id="ole_rId1" style="width:450pt;height:42pt" o:ole="">
          <v:imagedata r:id="rId2" o:title=""/>
        </v:shape>
        <o:OLEObject Type="Embed" ProgID="CorelDraw.Graphic.16" ShapeID="ole_rId1" DrawAspect="Content" ObjectID="_1796748040" r:id="rId1"/>
      </w:object>
    </w:r>
  </w:p>
  <w:p>
    <w:pPr>
      <w:pStyle w:val="LOnormal"/>
      <w:keepNext w:val="false"/>
      <w:keepLines w:val="false"/>
      <w:widowControl w:val="false"/>
      <w:numPr>
        <w:ilvl w:val="3"/>
        <w:numId w:val="1"/>
      </w:numPr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widowControl w:val="false"/>
      <w:numPr>
        <w:ilvl w:val="0"/>
        <w:numId w:val="0"/>
      </w:numPr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2"/>
        <w:szCs w:val="22"/>
        <w:u w:val="none"/>
        <w:shd w:fill="auto" w:val="clear"/>
        <w:vertAlign w:val="baseline"/>
      </w:rPr>
    </w:pP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 xml:space="preserve">SÚMULA DA </w:t>
    </w: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kern w:val="0"/>
        <w:position w:val="0"/>
        <w:sz w:val="21"/>
        <w:sz w:val="21"/>
        <w:szCs w:val="21"/>
        <w:u w:val="none"/>
        <w:shd w:fill="auto" w:val="clear"/>
        <w:vertAlign w:val="baseline"/>
        <w:lang w:val="pt-BR" w:eastAsia="zh-CN" w:bidi="hi-IN"/>
      </w:rPr>
      <w:t>2</w:t>
    </w: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ª REUNIÃO ORDINÁRIA CAF-CAU/DF</w:t>
    </w:r>
  </w:p>
  <w:p>
    <w:pPr>
      <w:pStyle w:val="LOnormal"/>
      <w:jc w:val="center"/>
      <w:rPr>
        <w:position w:val="0"/>
        <w:sz w:val="24"/>
        <w:sz w:val="24"/>
        <w:vertAlign w:val="baseline"/>
      </w:rPr>
    </w:pPr>
    <w:r>
      <w:rPr>
        <w:position w:val="0"/>
        <w:sz w:val="24"/>
        <w:sz w:val="24"/>
        <w:vertAlign w:val="baseline"/>
      </w:rPr>
      <w:t xml:space="preserve">       </w:t>
    </w:r>
    <w:r>
      <w:rPr>
        <w:position w:val="0"/>
        <w:sz w:val="22"/>
        <w:sz w:val="22"/>
        <w:szCs w:val="22"/>
        <w:vertAlign w:val="baseline"/>
      </w:rPr>
      <w:t>Comissão de Administração, Planejamento e Finanças</w:t>
    </w:r>
  </w:p>
  <w:p>
    <w:pPr>
      <w:pStyle w:val="LOnormal"/>
      <w:jc w:val="center"/>
      <w:rPr>
        <w:position w:val="0"/>
        <w:sz w:val="22"/>
        <w:sz w:val="22"/>
        <w:szCs w:val="22"/>
        <w:vertAlign w:val="baseline"/>
      </w:rPr>
    </w:pPr>
    <w:r>
      <w:rPr>
        <w:position w:val="0"/>
        <w:sz w:val="22"/>
        <w:sz w:val="22"/>
        <w:szCs w:val="22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LOnormal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1">
    <w:name w:val="Heading 1"/>
    <w:basedOn w:val="LOnormal"/>
    <w:next w:val="LOnormal"/>
    <w:qFormat/>
    <w:pPr>
      <w:keepNext w:val="true"/>
      <w:widowControl/>
      <w:shd w:val="clear" w:color="auto" w:fill="E5E5E5"/>
      <w:suppressAutoHyphens w:val="false"/>
      <w:spacing w:lineRule="atLeast" w:line="1"/>
      <w:jc w:val="center"/>
      <w:textAlignment w:val="top"/>
      <w:outlineLvl w:val="0"/>
    </w:pPr>
    <w:rPr>
      <w:rFonts w:ascii="Arial" w:hAnsi="Arial" w:cs="Arial"/>
      <w:b/>
      <w:w w:val="100"/>
      <w:position w:val="0"/>
      <w:sz w:val="28"/>
      <w:sz w:val="28"/>
      <w:szCs w:val="22"/>
      <w:u w:val="single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LOnormal"/>
    <w:next w:val="LOnormal"/>
    <w:qFormat/>
    <w:pPr>
      <w:keepNext w:val="true"/>
      <w:widowControl/>
      <w:suppressAutoHyphens w:val="false"/>
      <w:spacing w:lineRule="atLeast" w:line="1"/>
      <w:jc w:val="center"/>
      <w:textAlignment w:val="top"/>
      <w:outlineLvl w:val="1"/>
    </w:pPr>
    <w:rPr>
      <w:rFonts w:ascii="Impact" w:hAnsi="Impact" w:cs="Impact"/>
      <w:b/>
      <w:i/>
      <w:w w:val="100"/>
      <w:position w:val="0"/>
      <w:sz w:val="32"/>
      <w:sz w:val="32"/>
      <w:szCs w:val="22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LOnormal"/>
    <w:next w:val="LOnormal"/>
    <w:qFormat/>
    <w:pPr>
      <w:keepNext w:val="true"/>
      <w:keepLines/>
      <w:widowControl w:val="false"/>
      <w:suppressAutoHyphens w:val="false"/>
      <w:spacing w:lineRule="atLeast" w:line="1" w:before="200" w:after="0"/>
      <w:textAlignment w:val="top"/>
      <w:outlineLvl w:val="2"/>
    </w:pPr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4">
    <w:name w:val="Heading 4"/>
    <w:basedOn w:val="LOnormal"/>
    <w:next w:val="LOnormal"/>
    <w:qFormat/>
    <w:pPr>
      <w:keepNext w:val="true"/>
      <w:widowControl/>
      <w:suppressAutoHyphens w:val="false"/>
      <w:spacing w:lineRule="atLeast" w:line="1" w:before="120" w:after="120"/>
      <w:jc w:val="center"/>
      <w:textAlignment w:val="top"/>
      <w:outlineLvl w:val="3"/>
    </w:pPr>
    <w:rPr>
      <w:rFonts w:ascii="Arial" w:hAnsi="Arial" w:cs="Arial"/>
      <w:b/>
      <w:w w:val="100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Ttulo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Ttulo8">
    <w:name w:val="Heading 8"/>
    <w:basedOn w:val="LOnormal"/>
    <w:next w:val="LOnormal"/>
    <w:qFormat/>
    <w:pPr>
      <w:widowControl/>
      <w:suppressAutoHyphens w:val="false"/>
      <w:spacing w:lineRule="atLeast" w:line="1" w:before="240" w:after="60"/>
      <w:textAlignment w:val="top"/>
      <w:outlineLvl w:val="7"/>
    </w:pPr>
    <w:rPr>
      <w:rFonts w:ascii="Arial" w:hAnsi="Arial" w:cs="Arial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>
    <w:name w:val="WW8Num4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>
    <w:name w:val="WW8Num4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>
    <w:name w:val="WW8Num4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>
    <w:name w:val="WW8Num4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>
    <w:name w:val="WW8Num4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>
    <w:name w:val="WW8Num4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>
    <w:name w:val="WW8Num4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>
    <w:name w:val="WW8Num4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>
    <w:name w:val="WW8Num4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>
    <w:name w:val="WW8Num5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1">
    <w:name w:val="WW8Num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2">
    <w:name w:val="WW8Num5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0">
    <w:name w:val="WW8Num6z0"/>
    <w:qFormat/>
    <w:rPr>
      <w:b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>
    <w:name w:val="WW8Num6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>
    <w:name w:val="WW8Num6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3">
    <w:name w:val="WW8Num6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4">
    <w:name w:val="WW8Num6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5">
    <w:name w:val="WW8Num6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6">
    <w:name w:val="WW8Num6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7">
    <w:name w:val="WW8Num6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8">
    <w:name w:val="WW8Num6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>
    <w:name w:val="WW8Num7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>
    <w:name w:val="WW8Num7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>
    <w:name w:val="WW8Num7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3">
    <w:name w:val="WW8Num7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4">
    <w:name w:val="WW8Num7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5">
    <w:name w:val="WW8Num7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6">
    <w:name w:val="WW8Num7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7">
    <w:name w:val="WW8Num7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8">
    <w:name w:val="WW8Num7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>
    <w:name w:val="WW8Num8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>
    <w:name w:val="WW8Num8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>
    <w:name w:val="WW8Num8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>
    <w:name w:val="WW8Num9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1">
    <w:name w:val="WW8Num9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>
    <w:name w:val="WW8Num9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3">
    <w:name w:val="WW8Num9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4">
    <w:name w:val="WW8Num9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5">
    <w:name w:val="WW8Num9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6">
    <w:name w:val="WW8Num9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7">
    <w:name w:val="WW8Num9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8">
    <w:name w:val="WW8Num9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>
    <w:name w:val="WW8Num10z0"/>
    <w:qFormat/>
    <w:rPr>
      <w:b/>
      <w:color w:val="auto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>
    <w:name w:val="WW8Num10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>
    <w:name w:val="WW8Num10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3">
    <w:name w:val="WW8Num10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4">
    <w:name w:val="WW8Num10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5">
    <w:name w:val="WW8Num10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6">
    <w:name w:val="WW8Num10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7">
    <w:name w:val="WW8Num10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8">
    <w:name w:val="WW8Num10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>
    <w:name w:val="WW8Num11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>
    <w:name w:val="WW8Num11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>
    <w:name w:val="WW8Num11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>
    <w:name w:val="WW8Num12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>
    <w:name w:val="WW8Num12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2">
    <w:name w:val="WW8Num12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CabealhoChar">
    <w:name w:val="Cabeçalho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RodapChar">
    <w:name w:val="Rodapé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extodebaloChar">
    <w:name w:val="Texto de balão Char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RecuodecorpodetextoChar">
    <w:name w:val="Recuo de corpo de texto Char"/>
    <w:qFormat/>
    <w:rPr>
      <w:rFonts w:ascii="Times New Roman" w:hAnsi="Times New Roman" w:eastAsia="Times New Roman" w:cs="Times New Roman"/>
      <w:w w:val="100"/>
      <w:position w:val="0"/>
      <w:sz w:val="28"/>
      <w:sz w:val="28"/>
      <w:effect w:val="none"/>
      <w:vertAlign w:val="baseline"/>
      <w:em w:val="none"/>
    </w:rPr>
  </w:style>
  <w:style w:type="character" w:styleId="Ttulo1Char">
    <w:name w:val="Título 1 Char"/>
    <w:qFormat/>
    <w:rPr>
      <w:rFonts w:ascii="Arial" w:hAnsi="Arial" w:eastAsia="Times New Roman" w:cs="Arial"/>
      <w:b/>
      <w:w w:val="100"/>
      <w:position w:val="0"/>
      <w:sz w:val="28"/>
      <w:sz w:val="28"/>
      <w:szCs w:val="22"/>
      <w:u w:val="single"/>
      <w:effect w:val="none"/>
      <w:shd w:fill="E5E5E5" w:val="clear"/>
      <w:vertAlign w:val="baseline"/>
      <w:em w:val="none"/>
    </w:rPr>
  </w:style>
  <w:style w:type="character" w:styleId="Ttulo2Char">
    <w:name w:val="Título 2 Char"/>
    <w:qFormat/>
    <w:rPr>
      <w:rFonts w:ascii="Impact" w:hAnsi="Impact" w:eastAsia="Times New Roman" w:cs="Impact"/>
      <w:b/>
      <w:i/>
      <w:w w:val="100"/>
      <w:position w:val="0"/>
      <w:sz w:val="32"/>
      <w:sz w:val="32"/>
      <w:szCs w:val="22"/>
      <w:effect w:val="none"/>
      <w:vertAlign w:val="baseline"/>
      <w:em w:val="none"/>
    </w:rPr>
  </w:style>
  <w:style w:type="character" w:styleId="Ttulo4Char">
    <w:name w:val="Título 4 Char"/>
    <w:qFormat/>
    <w:rPr>
      <w:rFonts w:ascii="Arial" w:hAnsi="Arial" w:eastAsia="Times New Roman" w:cs="Arial"/>
      <w:b/>
      <w:w w:val="100"/>
      <w:position w:val="0"/>
      <w:sz w:val="22"/>
      <w:sz w:val="22"/>
      <w:szCs w:val="22"/>
      <w:effect w:val="none"/>
      <w:vertAlign w:val="baseline"/>
      <w:em w:val="none"/>
    </w:rPr>
  </w:style>
  <w:style w:type="character" w:styleId="Ttulo8Char">
    <w:name w:val="Título 8 Char"/>
    <w:qFormat/>
    <w:rPr>
      <w:rFonts w:ascii="Arial" w:hAnsi="Arial" w:eastAsia="Times New Roman" w:cs="Arial"/>
      <w:i/>
      <w:iCs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Nmerodelinha">
    <w:name w:val="Número de linha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nkdaInternet">
    <w:name w:val="Link da Internet"/>
    <w:qFormat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Forte">
    <w:name w:val="Forte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St">
    <w:name w:val="st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ppleconvertedspace">
    <w:name w:val="apple-converted-space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tulo3Char">
    <w:name w:val="Título 3 Char"/>
    <w:qFormat/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</w:rPr>
  </w:style>
  <w:style w:type="character" w:styleId="Nfase">
    <w:name w:val="Ênfase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LOnormal"/>
    <w:qFormat/>
    <w:pPr>
      <w:widowControl w:val="false"/>
      <w:suppressLineNumbers/>
      <w:suppressAutoHyphens w:val="false"/>
      <w:spacing w:lineRule="atLeast" w:line="1" w:before="120" w:after="120"/>
      <w:textAlignment w:val="top"/>
      <w:outlineLvl w:val="0"/>
    </w:pPr>
    <w:rPr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LOnormal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Ttulo11">
    <w:name w:val="Título1"/>
    <w:basedOn w:val="LOnormal"/>
    <w:next w:val="Corpodetexto"/>
    <w:qFormat/>
    <w:pPr>
      <w:keepNext w:val="true"/>
      <w:widowControl w:val="false"/>
      <w:suppressAutoHyphens w:val="false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Mangal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etexto">
    <w:name w:val="Corpo de texto"/>
    <w:basedOn w:val="LOnormal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rFonts w:ascii="Tahoma" w:hAnsi="Tahoma" w:eastAsia="Calibri" w:cs="Tahoma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Recuodecorpodetexto">
    <w:name w:val="Recuo de corpo de texto"/>
    <w:basedOn w:val="LOnormal"/>
    <w:qFormat/>
    <w:pPr>
      <w:widowControl/>
      <w:suppressAutoHyphens w:val="false"/>
      <w:spacing w:lineRule="auto" w:line="360"/>
      <w:ind w:left="0" w:right="0" w:firstLine="1701"/>
      <w:jc w:val="both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Texto">
    <w:name w:val="texto"/>
    <w:basedOn w:val="LOnormal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rFonts w:ascii="Verdana" w:hAnsi="Verdana" w:cs="Arial"/>
      <w:color w:val="515151"/>
      <w:w w:val="100"/>
      <w:position w:val="0"/>
      <w:sz w:val="11"/>
      <w:sz w:val="11"/>
      <w:szCs w:val="11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LOnormal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PargrafodaLista">
    <w:name w:val="Parágrafo da Lista"/>
    <w:basedOn w:val="LOnormal"/>
    <w:qFormat/>
    <w:pPr>
      <w:widowControl w:val="false"/>
      <w:suppressAutoHyphens w:val="false"/>
      <w:spacing w:lineRule="atLeast" w:line="1" w:before="0" w:after="0"/>
      <w:ind w:left="720" w:right="0" w:hanging="0"/>
      <w:contextualSpacing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emEspaamento">
    <w:name w:val="Sem Espaçamento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Cambria" w:hAnsi="Cambria" w:eastAsia="MS Mincho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LOnormal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spacing w:lineRule="atLeast" w:line="1"/>
      <w:jc w:val="center"/>
      <w:textAlignment w:val="top"/>
      <w:outlineLvl w:val="0"/>
    </w:pPr>
    <w:rPr>
      <w:b/>
      <w:bCs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ubttulo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>
    <w:name w:val="Sem lista"/>
    <w:qFormat/>
  </w:style>
  <w:style w:type="table" w:default="1" w:styleId="TableNormal">
    <w:name w:val="Table Normal"/>
  </w:style>
  <w:style w:type="table" w:styleId="Tabelanormal">
    <w:name w:val="Tabela normal"/>
    <w:qFormat/>
    <w:pPr>
      <w:ind w:rightChars="0"/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Mi/KdLsDJWkOUnBWjhaEQWRs/eg==">AMUW2mXKpbBLvlWiYk0xYZ2PYEyXAISUp7fzo4XjjpmH0I2QknU8Hx/Prlrq1PI4QAKGbiMRCarH24c5VfDY4f2oUXs9ed661RDOjzeAIpYILc2+Y5X2vcs=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510</TotalTime>
  <Application>LibreOffice/7.0.4.2$Windows_X86_64 LibreOffice_project/dcf040e67528d9187c66b2379df5ea4407429775</Application>
  <AppVersion>15.0000</AppVersion>
  <Pages>5</Pages>
  <Words>1069</Words>
  <Characters>6226</Characters>
  <CharactersWithSpaces>7236</CharactersWithSpaces>
  <Paragraphs>102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2021-03-08T09:00:00Z</dcterms:created>
  <dc:creator>Anderson Viana</dc:creator>
  <dc:description/>
  <dc:language>pt-BR</dc:language>
  <cp:lastModifiedBy/>
  <dcterms:modified xsi:type="dcterms:W3CDTF">2021-04-12T12:08:23Z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