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7BBC3552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4C7733">
        <w:rPr>
          <w:rFonts w:ascii="Times New Roman" w:eastAsia="Verdana" w:hAnsi="Times New Roman"/>
          <w:sz w:val="22"/>
          <w:szCs w:val="22"/>
        </w:rPr>
        <w:t>05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C7733">
        <w:rPr>
          <w:rFonts w:ascii="Times New Roman" w:eastAsia="Verdana" w:hAnsi="Times New Roman"/>
          <w:sz w:val="22"/>
          <w:szCs w:val="22"/>
        </w:rPr>
        <w:t>agosto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2F0CD5CB" w14:textId="77777777" w:rsidR="008508BE" w:rsidRPr="00A26728" w:rsidRDefault="008508BE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4339AA5" w14:textId="48125884" w:rsidR="00B85205" w:rsidRDefault="00B85205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85205">
        <w:rPr>
          <w:rFonts w:ascii="Times New Roman" w:hAnsi="Times New Roman"/>
          <w:sz w:val="22"/>
          <w:szCs w:val="22"/>
        </w:rPr>
        <w:t xml:space="preserve">Trata o presente processo 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de denúncia apresentada pela senhora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4C7733">
        <w:rPr>
          <w:rFonts w:ascii="Times New Roman" w:hAnsi="Times New Roman"/>
          <w:bCs/>
          <w:sz w:val="22"/>
          <w:szCs w:val="22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4C7733">
        <w:rPr>
          <w:rFonts w:ascii="Times New Roman" w:hAnsi="Times New Roman"/>
          <w:bCs/>
          <w:sz w:val="22"/>
          <w:szCs w:val="22"/>
        </w:rPr>
        <w:t xml:space="preserve"> </w:t>
      </w:r>
      <w:r w:rsidR="004C7733" w:rsidRPr="004C7733">
        <w:rPr>
          <w:rFonts w:ascii="Times New Roman" w:hAnsi="Times New Roman"/>
          <w:bCs/>
          <w:sz w:val="22"/>
          <w:szCs w:val="22"/>
        </w:rPr>
        <w:t>em desfavor d</w:t>
      </w:r>
      <w:r w:rsidR="004C7733">
        <w:rPr>
          <w:rFonts w:ascii="Times New Roman" w:hAnsi="Times New Roman"/>
          <w:bCs/>
          <w:sz w:val="22"/>
          <w:szCs w:val="22"/>
        </w:rPr>
        <w:t>a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arquitet</w:t>
      </w:r>
      <w:r w:rsidR="004C7733">
        <w:rPr>
          <w:rFonts w:ascii="Times New Roman" w:hAnsi="Times New Roman"/>
          <w:bCs/>
          <w:sz w:val="22"/>
          <w:szCs w:val="22"/>
        </w:rPr>
        <w:t>a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e urbanista</w:t>
      </w:r>
      <w:r w:rsidR="004C7733">
        <w:rPr>
          <w:rFonts w:ascii="Times New Roman" w:hAnsi="Times New Roman"/>
          <w:bCs/>
          <w:sz w:val="22"/>
          <w:szCs w:val="22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887F06">
        <w:rPr>
          <w:rFonts w:ascii="Times New Roman" w:hAnsi="Times New Roman"/>
          <w:sz w:val="22"/>
          <w:szCs w:val="22"/>
        </w:rPr>
        <w:t>,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por descumprimento contratual na elaboração de projeto e obra no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C7733" w:rsidRPr="004C7733">
        <w:rPr>
          <w:rFonts w:ascii="Times New Roman" w:hAnsi="Times New Roman"/>
          <w:bCs/>
          <w:sz w:val="22"/>
          <w:szCs w:val="22"/>
        </w:rPr>
        <w:t>;</w:t>
      </w:r>
    </w:p>
    <w:p w14:paraId="3CD1B38A" w14:textId="78CBF96B" w:rsidR="004C7733" w:rsidRDefault="004C7733" w:rsidP="004C7733">
      <w:pPr>
        <w:spacing w:before="120" w:after="120"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Deliberação n.º 016/2019 – CED-CAU/DF, que deliberou aprovar o relato e voto do conselheiro relator: </w:t>
      </w:r>
      <w:r w:rsidRPr="004C7733">
        <w:rPr>
          <w:rFonts w:ascii="Times New Roman" w:hAnsi="Times New Roman"/>
          <w:bCs/>
          <w:i/>
          <w:iCs/>
          <w:sz w:val="22"/>
          <w:szCs w:val="22"/>
        </w:rPr>
        <w:t xml:space="preserve">Pela abertura de processo específico para a arquiteta e urbanista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bCs/>
          <w:i/>
          <w:iCs/>
          <w:sz w:val="22"/>
          <w:szCs w:val="22"/>
        </w:rPr>
        <w:t>;</w:t>
      </w:r>
    </w:p>
    <w:p w14:paraId="639C0A81" w14:textId="185C2B18" w:rsidR="004C7733" w:rsidRPr="004C7733" w:rsidRDefault="004C7733" w:rsidP="004C77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p</w:t>
      </w:r>
      <w:r w:rsidRPr="004C7733">
        <w:rPr>
          <w:rFonts w:ascii="Times New Roman" w:hAnsi="Times New Roman"/>
          <w:sz w:val="22"/>
          <w:szCs w:val="22"/>
        </w:rPr>
        <w:t xml:space="preserve">ela análise da documentação acostada aos autos, a profissional ora tida como denunciada, apesar de ter sido nominada na denúncia, deixou de ser notificada no processo 221925/2015, por não haver no processo nenhum documento com indícios de falta ética por ela praticado, o contrato de prestação de serviço foi firmado apenas pelo </w:t>
      </w:r>
      <w:r>
        <w:rPr>
          <w:rFonts w:ascii="Times New Roman" w:hAnsi="Times New Roman"/>
          <w:sz w:val="22"/>
          <w:szCs w:val="22"/>
        </w:rPr>
        <w:t>arquiteto e urbanista</w:t>
      </w:r>
      <w:r w:rsidRPr="004C7733">
        <w:rPr>
          <w:rFonts w:ascii="Times New Roman" w:hAnsi="Times New Roman"/>
          <w:sz w:val="22"/>
          <w:szCs w:val="22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4C7733">
        <w:rPr>
          <w:rFonts w:ascii="Times New Roman" w:hAnsi="Times New Roman"/>
          <w:sz w:val="22"/>
          <w:szCs w:val="22"/>
        </w:rPr>
        <w:t>, e não há no processo ora em análise nada novo que indique a sua participação na celeuma</w:t>
      </w:r>
      <w:r>
        <w:rPr>
          <w:rFonts w:ascii="Times New Roman" w:hAnsi="Times New Roman"/>
          <w:sz w:val="22"/>
          <w:szCs w:val="22"/>
        </w:rPr>
        <w:t>;</w:t>
      </w:r>
    </w:p>
    <w:p w14:paraId="686E4172" w14:textId="77777777" w:rsidR="004C7733" w:rsidRDefault="004C7733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C7733">
        <w:rPr>
          <w:rFonts w:ascii="Times New Roman" w:hAnsi="Times New Roman"/>
          <w:sz w:val="22"/>
          <w:szCs w:val="22"/>
        </w:rPr>
        <w:t xml:space="preserve">Além disso, o art. 114 da Resolução nº 143, de 23 de junho de 2017, dispõe que a punibilidade do profissional por falta ética prescreve em 5 (cinco) anos, contados da data do fato, e em seu parágrafo único prevê que a citação válida a interrompe, senão vejamos: </w:t>
      </w:r>
    </w:p>
    <w:p w14:paraId="4B0C9F21" w14:textId="77777777" w:rsidR="004C7733" w:rsidRPr="004C7733" w:rsidRDefault="004C7733" w:rsidP="004C7733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4C7733">
        <w:rPr>
          <w:rFonts w:ascii="Times New Roman" w:hAnsi="Times New Roman"/>
          <w:i/>
          <w:iCs/>
          <w:sz w:val="22"/>
          <w:szCs w:val="22"/>
        </w:rPr>
        <w:t xml:space="preserve">Art. 114. A punibilidade do profissional arquiteto e urbanista, por falta sujeita a processo ético-disciplinar, prescreve em 5 (cinco) anos, contados da data do fato, nos termos do art. 23 da Lei n° 12.378, de 31 de dezembro de 2010. </w:t>
      </w:r>
    </w:p>
    <w:p w14:paraId="2F80116C" w14:textId="68D1934B" w:rsidR="004C7733" w:rsidRPr="004C7733" w:rsidRDefault="004C7733" w:rsidP="004C7733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4C7733">
        <w:rPr>
          <w:rFonts w:ascii="Times New Roman" w:hAnsi="Times New Roman"/>
          <w:i/>
          <w:iCs/>
          <w:sz w:val="22"/>
          <w:szCs w:val="22"/>
        </w:rPr>
        <w:lastRenderedPageBreak/>
        <w:t>Parágrafo único. A citação feita ao profissional para apresentar defesa interrompe o prazo prescricional de que trata o caput deste artigo, que recomeça a correr automaticamente por igual período.</w:t>
      </w:r>
    </w:p>
    <w:p w14:paraId="55A35336" w14:textId="7C716FBC" w:rsidR="00887F06" w:rsidRDefault="004C7733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C7733">
        <w:rPr>
          <w:rFonts w:ascii="Times New Roman" w:hAnsi="Times New Roman"/>
          <w:sz w:val="22"/>
          <w:szCs w:val="22"/>
        </w:rPr>
        <w:t xml:space="preserve">Da análise do processo, constata-se que a </w:t>
      </w:r>
      <w:r>
        <w:rPr>
          <w:rFonts w:ascii="Times New Roman" w:hAnsi="Times New Roman"/>
          <w:sz w:val="22"/>
          <w:szCs w:val="22"/>
        </w:rPr>
        <w:t xml:space="preserve">arquiteta e urbanista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4C7733">
        <w:rPr>
          <w:rFonts w:ascii="Times New Roman" w:hAnsi="Times New Roman"/>
          <w:sz w:val="22"/>
          <w:szCs w:val="22"/>
        </w:rPr>
        <w:t>, não foi citada para pronunciar-se sobre a denúncia feita em fevereiro de 2015, o fato narrado na denúncia teria ocorrido em 2012, portanto, conforme previsão do art. 114, acima transcrito, no caso em questão ocorreu a prescrição da punibilidade</w:t>
      </w:r>
      <w:r>
        <w:rPr>
          <w:rFonts w:ascii="Times New Roman" w:hAnsi="Times New Roman"/>
          <w:sz w:val="22"/>
          <w:szCs w:val="22"/>
        </w:rPr>
        <w:t>;</w:t>
      </w:r>
    </w:p>
    <w:p w14:paraId="4F3C0D0F" w14:textId="5B589A66" w:rsidR="00887F06" w:rsidRPr="00887F06" w:rsidRDefault="00887F06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87F06">
        <w:rPr>
          <w:rFonts w:ascii="Times New Roman" w:hAnsi="Times New Roman"/>
          <w:sz w:val="22"/>
          <w:szCs w:val="22"/>
        </w:rPr>
        <w:t>Assim por não vislumbrar no processo indício de falta ética por parte da arq. e urb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887F06">
        <w:rPr>
          <w:rFonts w:ascii="Times New Roman" w:hAnsi="Times New Roman"/>
          <w:sz w:val="22"/>
          <w:szCs w:val="22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887F06">
        <w:rPr>
          <w:rFonts w:ascii="Times New Roman" w:hAnsi="Times New Roman"/>
          <w:sz w:val="22"/>
          <w:szCs w:val="22"/>
        </w:rPr>
        <w:t xml:space="preserve"> </w:t>
      </w:r>
      <w:r w:rsidRPr="00887F06">
        <w:rPr>
          <w:rFonts w:ascii="Times New Roman" w:hAnsi="Times New Roman"/>
          <w:sz w:val="22"/>
          <w:szCs w:val="22"/>
        </w:rPr>
        <w:t>e mesmo que houvesse, como ocorreu a prescrição da punibilidade o processo deverá ser extinto, em conformidade com o art. 113, III, da Resolução 143</w:t>
      </w:r>
      <w:r>
        <w:rPr>
          <w:rFonts w:ascii="Times New Roman" w:hAnsi="Times New Roman"/>
          <w:sz w:val="22"/>
          <w:szCs w:val="22"/>
        </w:rPr>
        <w:t>;</w:t>
      </w:r>
    </w:p>
    <w:p w14:paraId="1A3995E2" w14:textId="51E95D4E" w:rsidR="00B85205" w:rsidRDefault="00E4169A" w:rsidP="00887F06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887F06">
        <w:rPr>
          <w:rFonts w:ascii="Times New Roman" w:hAnsi="Times New Roman"/>
          <w:sz w:val="22"/>
          <w:szCs w:val="22"/>
        </w:rPr>
        <w:t>Carlos Henrique Magalhães de Lima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</w:t>
      </w:r>
      <w:r w:rsidR="00B85205">
        <w:rPr>
          <w:rFonts w:ascii="Times New Roman" w:hAnsi="Times New Roman"/>
          <w:sz w:val="22"/>
          <w:szCs w:val="22"/>
        </w:rPr>
        <w:t xml:space="preserve"> </w:t>
      </w:r>
      <w:r w:rsidR="00887F06">
        <w:rPr>
          <w:rFonts w:ascii="Times New Roman" w:hAnsi="Times New Roman"/>
          <w:sz w:val="22"/>
          <w:szCs w:val="22"/>
        </w:rPr>
        <w:t>pela extinção do processo.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</w:p>
    <w:p w14:paraId="00287F4B" w14:textId="38EA93EC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6944D67C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85205">
        <w:rPr>
          <w:rFonts w:ascii="Times New Roman" w:hAnsi="Times New Roman"/>
          <w:sz w:val="22"/>
          <w:szCs w:val="22"/>
        </w:rPr>
        <w:t xml:space="preserve"> NÃO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>em desfavor d</w:t>
      </w:r>
      <w:r w:rsidR="00887F06">
        <w:rPr>
          <w:rFonts w:ascii="Times New Roman" w:hAnsi="Times New Roman"/>
          <w:sz w:val="22"/>
          <w:szCs w:val="22"/>
        </w:rPr>
        <w:t>a</w:t>
      </w:r>
      <w:r w:rsidR="00D55F95">
        <w:rPr>
          <w:rFonts w:ascii="Times New Roman" w:hAnsi="Times New Roman"/>
          <w:sz w:val="22"/>
          <w:szCs w:val="22"/>
        </w:rPr>
        <w:t xml:space="preserve"> arquitet</w:t>
      </w:r>
      <w:r w:rsidR="00887F06">
        <w:rPr>
          <w:rFonts w:ascii="Times New Roman" w:hAnsi="Times New Roman"/>
          <w:sz w:val="22"/>
          <w:szCs w:val="22"/>
        </w:rPr>
        <w:t>a</w:t>
      </w:r>
      <w:r w:rsidR="00D55F95">
        <w:rPr>
          <w:rFonts w:ascii="Times New Roman" w:hAnsi="Times New Roman"/>
          <w:sz w:val="22"/>
          <w:szCs w:val="22"/>
        </w:rPr>
        <w:t xml:space="preserve"> e urbanista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2B115A" w:rsidRPr="002B115A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2B115A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>, por</w:t>
      </w:r>
      <w:r w:rsidR="00D5038F">
        <w:rPr>
          <w:rFonts w:ascii="Times New Roman" w:hAnsi="Times New Roman"/>
          <w:sz w:val="22"/>
          <w:szCs w:val="22"/>
        </w:rPr>
        <w:t xml:space="preserve"> não haver </w:t>
      </w:r>
      <w:r w:rsidR="00D5038F" w:rsidRPr="007878C4">
        <w:rPr>
          <w:rFonts w:ascii="Times New Roman" w:hAnsi="Times New Roman"/>
          <w:sz w:val="22"/>
          <w:szCs w:val="22"/>
        </w:rPr>
        <w:t>indícios de cometimento de falta étic</w:t>
      </w:r>
      <w:r w:rsidR="00D5038F">
        <w:rPr>
          <w:rFonts w:ascii="Times New Roman" w:hAnsi="Times New Roman"/>
          <w:sz w:val="22"/>
          <w:szCs w:val="22"/>
        </w:rPr>
        <w:t>o-disciplinar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1460D016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87F06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7CA2FD38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05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887F06">
        <w:rPr>
          <w:rFonts w:ascii="Times New Roman" w:eastAsia="Verdana" w:hAnsi="Times New Roman"/>
          <w:sz w:val="22"/>
          <w:szCs w:val="22"/>
        </w:rPr>
        <w:t>agosto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BBA44F9" w14:textId="77777777" w:rsidR="00887F06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EB6A63C" w:rsidR="00AD0207" w:rsidRPr="00BE02F4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5EA70956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7D255731" w:rsidR="008508BE" w:rsidRPr="00CD7CAA" w:rsidRDefault="008508BE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7733BDA3" w:rsidR="00AD0207" w:rsidRPr="00BE02F4" w:rsidRDefault="00887F06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DC9C79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7F06">
              <w:rPr>
                <w:rFonts w:ascii="Times New Roman" w:hAnsi="Times New Roman"/>
                <w:sz w:val="22"/>
                <w:szCs w:val="22"/>
              </w:rPr>
              <w:t>05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41C0013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1917A" w14:textId="77777777" w:rsidR="003951D7" w:rsidRDefault="003951D7" w:rsidP="00EE4FDD">
      <w:r>
        <w:separator/>
      </w:r>
    </w:p>
  </w:endnote>
  <w:endnote w:type="continuationSeparator" w:id="0">
    <w:p w14:paraId="6C5614C2" w14:textId="77777777" w:rsidR="003951D7" w:rsidRDefault="003951D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2E854" w14:textId="77777777" w:rsidR="003951D7" w:rsidRDefault="003951D7" w:rsidP="00EE4FDD">
      <w:r>
        <w:separator/>
      </w:r>
    </w:p>
  </w:footnote>
  <w:footnote w:type="continuationSeparator" w:id="0">
    <w:p w14:paraId="016DAF74" w14:textId="77777777" w:rsidR="003951D7" w:rsidRDefault="003951D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3951D7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335983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290D9AA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4C7733">
            <w:rPr>
              <w:rFonts w:ascii="Times New Roman" w:hAnsi="Times New Roman"/>
              <w:sz w:val="22"/>
              <w:szCs w:val="22"/>
            </w:rPr>
            <w:t>1009045/2019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76EDFA6" w:rsidR="000F2E7A" w:rsidRPr="0097246C" w:rsidRDefault="004C7733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sz w:val="22"/>
              <w:szCs w:val="22"/>
              <w:lang w:eastAsia="pt-BR"/>
            </w:rPr>
            <w:t>CAU/DF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1FDA4D9" w:rsidR="000F2E7A" w:rsidRPr="00277FD7" w:rsidRDefault="005711E2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DESCUMPRIMENTO CONTRATUAL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DC0836A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4C773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3951D7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5A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1D7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654</Words>
  <Characters>3533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25</cp:revision>
  <cp:lastPrinted>2021-07-20T12:54:00Z</cp:lastPrinted>
  <dcterms:created xsi:type="dcterms:W3CDTF">2021-03-04T12:39:00Z</dcterms:created>
  <dcterms:modified xsi:type="dcterms:W3CDTF">2022-04-01T19:33:00Z</dcterms:modified>
</cp:coreProperties>
</file>