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5A571672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E30252">
              <w:rPr>
                <w:sz w:val="22"/>
                <w:szCs w:val="22"/>
              </w:rPr>
              <w:t>1380947/2021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9B2DAE7" w:rsidR="00A55DEF" w:rsidRPr="00287E02" w:rsidRDefault="005763D3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APROVAÇÃO DO </w:t>
            </w:r>
            <w:r w:rsidR="00E30252">
              <w:rPr>
                <w:sz w:val="22"/>
                <w:szCs w:val="22"/>
              </w:rPr>
              <w:t>PROTOCOLO DE INTENÇÕES MULTILATERAL – GRUPO BOAS PRÁTICAS DA CONSTRUÇÃO CIVIL - GBPC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1CE00344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E30252">
              <w:rPr>
                <w:b/>
                <w:sz w:val="22"/>
                <w:szCs w:val="22"/>
              </w:rPr>
              <w:t>11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33B19BC9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E30252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 xml:space="preserve"> de </w:t>
      </w:r>
      <w:r w:rsidR="00E30252">
        <w:rPr>
          <w:rFonts w:eastAsia="Verdana"/>
          <w:sz w:val="22"/>
          <w:szCs w:val="22"/>
        </w:rPr>
        <w:t>setembro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24FC54B" w14:textId="77777777" w:rsidR="00FB2EB8" w:rsidRDefault="006F0BA9" w:rsidP="00A01FE9">
      <w:pPr>
        <w:spacing w:after="240"/>
        <w:rPr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</w:t>
      </w:r>
      <w:r w:rsidR="00E30252" w:rsidRPr="00E30252">
        <w:rPr>
          <w:sz w:val="22"/>
          <w:szCs w:val="22"/>
        </w:rPr>
        <w:t xml:space="preserve">Protocolo </w:t>
      </w:r>
      <w:r w:rsidR="00E30252">
        <w:rPr>
          <w:sz w:val="22"/>
          <w:szCs w:val="22"/>
        </w:rPr>
        <w:t>d</w:t>
      </w:r>
      <w:r w:rsidR="00E30252" w:rsidRPr="00E30252">
        <w:rPr>
          <w:sz w:val="22"/>
          <w:szCs w:val="22"/>
        </w:rPr>
        <w:t xml:space="preserve">e Intenções Multilateral – Grupo Boas Práticas Da Construção Civil </w:t>
      </w:r>
      <w:r w:rsidR="00FB2EB8">
        <w:rPr>
          <w:sz w:val="22"/>
          <w:szCs w:val="22"/>
        </w:rPr>
        <w:t>–</w:t>
      </w:r>
      <w:r w:rsidR="00E30252" w:rsidRPr="00E30252">
        <w:rPr>
          <w:sz w:val="22"/>
          <w:szCs w:val="22"/>
        </w:rPr>
        <w:t xml:space="preserve"> GBPC</w:t>
      </w:r>
      <w:r w:rsidR="00FB2EB8">
        <w:rPr>
          <w:sz w:val="22"/>
          <w:szCs w:val="22"/>
        </w:rPr>
        <w:t>;</w:t>
      </w:r>
    </w:p>
    <w:p w14:paraId="06510B7C" w14:textId="77777777" w:rsidR="00FB2EB8" w:rsidRDefault="00FB2EB8" w:rsidP="00A01FE9">
      <w:pPr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Considerando que o objeto do Protocolo apresentado: </w:t>
      </w:r>
    </w:p>
    <w:p w14:paraId="23AA0C9B" w14:textId="77777777" w:rsidR="00FB2EB8" w:rsidRPr="00FB2EB8" w:rsidRDefault="00FB2EB8" w:rsidP="00FB2EB8">
      <w:pPr>
        <w:spacing w:after="240"/>
        <w:ind w:left="1985"/>
        <w:rPr>
          <w:i/>
          <w:iCs/>
          <w:sz w:val="22"/>
          <w:szCs w:val="22"/>
        </w:rPr>
      </w:pPr>
      <w:r w:rsidRPr="00FB2EB8">
        <w:rPr>
          <w:i/>
          <w:iCs/>
          <w:sz w:val="22"/>
          <w:szCs w:val="22"/>
        </w:rPr>
        <w:t>B</w:t>
      </w:r>
      <w:r w:rsidR="00E30252" w:rsidRPr="00FB2EB8">
        <w:rPr>
          <w:i/>
          <w:iCs/>
          <w:sz w:val="22"/>
          <w:szCs w:val="22"/>
        </w:rPr>
        <w:t>usca</w:t>
      </w:r>
      <w:r w:rsidR="00E30252" w:rsidRPr="00FB2EB8">
        <w:rPr>
          <w:i/>
          <w:iCs/>
          <w:sz w:val="22"/>
          <w:szCs w:val="22"/>
        </w:rPr>
        <w:t xml:space="preserve"> </w:t>
      </w:r>
      <w:r w:rsidR="00E30252" w:rsidRPr="00FB2EB8">
        <w:rPr>
          <w:i/>
          <w:iCs/>
          <w:sz w:val="22"/>
          <w:szCs w:val="22"/>
        </w:rPr>
        <w:t>envidar os esforços necessários, por meio de discussões, reuniões, fóruns e troca de experiências, visando à implementação de boas práticas no setor da Construção Civil, desenvolvendo ações e projetos, com foco na responsabilidade técnica e social</w:t>
      </w:r>
      <w:r w:rsidR="006F0BA9" w:rsidRPr="00FB2EB8">
        <w:rPr>
          <w:i/>
          <w:iCs/>
          <w:sz w:val="22"/>
          <w:szCs w:val="22"/>
        </w:rPr>
        <w:t>;</w:t>
      </w:r>
    </w:p>
    <w:p w14:paraId="17C2AB1B" w14:textId="0E2B06A1" w:rsidR="00FB2EB8" w:rsidRPr="00FB2EB8" w:rsidRDefault="00FB2EB8" w:rsidP="00FB2EB8">
      <w:pPr>
        <w:spacing w:after="240"/>
        <w:ind w:left="1985"/>
        <w:rPr>
          <w:i/>
          <w:iCs/>
          <w:sz w:val="22"/>
          <w:szCs w:val="22"/>
        </w:rPr>
      </w:pPr>
      <w:r w:rsidRPr="00FB2EB8">
        <w:rPr>
          <w:i/>
          <w:iCs/>
          <w:sz w:val="22"/>
          <w:szCs w:val="22"/>
        </w:rPr>
        <w:t>Fomentar o desenvolvimento de sistemas informatizados, a normatização, a realização de parcerias, acordos de cooperação técnica, convênios, formação e capacitação dos profissionais do setor com apoio das entidades e participação da sociedade civil.</w:t>
      </w:r>
    </w:p>
    <w:p w14:paraId="6D6A3B72" w14:textId="55C5E857" w:rsidR="00AB0B45" w:rsidRDefault="00E30252" w:rsidP="00AB0B45">
      <w:pPr>
        <w:spacing w:after="240"/>
        <w:rPr>
          <w:rFonts w:eastAsia="Verdana"/>
          <w:bCs/>
          <w:sz w:val="22"/>
          <w:szCs w:val="22"/>
        </w:rPr>
      </w:pPr>
      <w:r w:rsidRPr="00E30252">
        <w:rPr>
          <w:bCs/>
          <w:sz w:val="22"/>
          <w:szCs w:val="22"/>
        </w:rPr>
        <w:t>Considerando</w:t>
      </w:r>
      <w:r w:rsidR="00AB0B45">
        <w:rPr>
          <w:bCs/>
          <w:sz w:val="22"/>
          <w:szCs w:val="22"/>
        </w:rPr>
        <w:t xml:space="preserve"> que o Protocolo estabelece a participação do CAU/DF no</w:t>
      </w:r>
      <w:r w:rsidRPr="00E30252">
        <w:rPr>
          <w:bCs/>
          <w:sz w:val="22"/>
          <w:szCs w:val="22"/>
        </w:rPr>
        <w:t xml:space="preserve"> </w:t>
      </w:r>
      <w:r w:rsidR="00FB2EB8" w:rsidRPr="00E30252">
        <w:rPr>
          <w:sz w:val="22"/>
          <w:szCs w:val="22"/>
        </w:rPr>
        <w:t xml:space="preserve">Grupo Boas Práticas Da Construção Civil </w:t>
      </w:r>
      <w:r w:rsidR="00FB2EB8">
        <w:rPr>
          <w:sz w:val="22"/>
          <w:szCs w:val="22"/>
        </w:rPr>
        <w:t>–</w:t>
      </w:r>
      <w:r w:rsidR="00FB2EB8" w:rsidRPr="00E30252">
        <w:rPr>
          <w:sz w:val="22"/>
          <w:szCs w:val="22"/>
        </w:rPr>
        <w:t xml:space="preserve"> GBPC</w:t>
      </w:r>
      <w:r w:rsidR="00FB2EB8">
        <w:rPr>
          <w:sz w:val="22"/>
          <w:szCs w:val="22"/>
        </w:rPr>
        <w:t>;</w:t>
      </w:r>
    </w:p>
    <w:p w14:paraId="476C700B" w14:textId="56A27CFD" w:rsidR="00AB0B45" w:rsidRPr="00A01FE9" w:rsidRDefault="00AB0B45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</w:t>
      </w:r>
      <w:r>
        <w:rPr>
          <w:rFonts w:eastAsia="Verdana"/>
          <w:bCs/>
          <w:sz w:val="22"/>
          <w:szCs w:val="22"/>
        </w:rPr>
        <w:t xml:space="preserve"> o Parecer Jurídico</w:t>
      </w:r>
      <w:r>
        <w:rPr>
          <w:rFonts w:eastAsia="Verdana"/>
          <w:bCs/>
          <w:sz w:val="22"/>
          <w:szCs w:val="22"/>
        </w:rPr>
        <w:t xml:space="preserve"> que declarou: </w:t>
      </w:r>
      <w:r w:rsidRPr="00AB0B45">
        <w:rPr>
          <w:rFonts w:eastAsia="Verdana"/>
          <w:bCs/>
          <w:i/>
          <w:iCs/>
          <w:sz w:val="22"/>
          <w:szCs w:val="22"/>
        </w:rPr>
        <w:t>“</w:t>
      </w:r>
      <w:r w:rsidRPr="00AB0B45">
        <w:rPr>
          <w:rFonts w:eastAsia="Verdana"/>
          <w:bCs/>
          <w:i/>
          <w:iCs/>
          <w:sz w:val="22"/>
          <w:szCs w:val="22"/>
        </w:rPr>
        <w:t>Após análise do protocolo de intenção encaminhado para análise, essa Assessoria Jurídica entende que o mesmo está dentro da legalidade podendo ser dado continuidade as tratativas.</w:t>
      </w:r>
      <w:r w:rsidRPr="00AB0B45">
        <w:rPr>
          <w:rFonts w:eastAsia="Verdana"/>
          <w:bCs/>
          <w:i/>
          <w:iCs/>
          <w:sz w:val="22"/>
          <w:szCs w:val="22"/>
        </w:rPr>
        <w:t>”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5B620EFC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o </w:t>
      </w:r>
      <w:r w:rsidR="00AB0B45" w:rsidRPr="00AB0B45">
        <w:rPr>
          <w:rFonts w:eastAsia="Verdana"/>
          <w:sz w:val="22"/>
          <w:szCs w:val="22"/>
        </w:rPr>
        <w:t xml:space="preserve">Protocolo </w:t>
      </w:r>
      <w:r w:rsidR="00AB0B45">
        <w:rPr>
          <w:rFonts w:eastAsia="Verdana"/>
          <w:sz w:val="22"/>
          <w:szCs w:val="22"/>
        </w:rPr>
        <w:t>d</w:t>
      </w:r>
      <w:r w:rsidR="00AB0B45" w:rsidRPr="00AB0B45">
        <w:rPr>
          <w:rFonts w:eastAsia="Verdana"/>
          <w:sz w:val="22"/>
          <w:szCs w:val="22"/>
        </w:rPr>
        <w:t xml:space="preserve">e Intenções Multilateral – Grupo Boas Práticas Da Construção Civil </w:t>
      </w:r>
      <w:r w:rsidR="00AB0B45">
        <w:rPr>
          <w:rFonts w:eastAsia="Verdana"/>
          <w:sz w:val="22"/>
          <w:szCs w:val="22"/>
        </w:rPr>
        <w:t>–</w:t>
      </w:r>
      <w:r w:rsidR="00AB0B45" w:rsidRPr="00AB0B45">
        <w:rPr>
          <w:rFonts w:eastAsia="Verdana"/>
          <w:sz w:val="22"/>
          <w:szCs w:val="22"/>
        </w:rPr>
        <w:t xml:space="preserve"> GBPC</w:t>
      </w:r>
      <w:r w:rsidR="00AB0B45">
        <w:rPr>
          <w:rFonts w:eastAsia="Verdana"/>
          <w:sz w:val="22"/>
          <w:szCs w:val="22"/>
        </w:rPr>
        <w:t>.</w:t>
      </w:r>
    </w:p>
    <w:p w14:paraId="326DE076" w14:textId="1289AB20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0012DF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ABD5C10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B0B4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B0B45">
        <w:rPr>
          <w:rFonts w:eastAsia="Verdana"/>
          <w:sz w:val="22"/>
          <w:szCs w:val="22"/>
        </w:rPr>
        <w:t>setembro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46769D6D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4F823E48" w14:textId="77777777" w:rsidR="000012DF" w:rsidRDefault="000012DF" w:rsidP="00BD5165">
      <w:pPr>
        <w:jc w:val="center"/>
        <w:rPr>
          <w:rFonts w:eastAsia="Verdana"/>
          <w:sz w:val="22"/>
          <w:szCs w:val="22"/>
        </w:rPr>
      </w:pPr>
    </w:p>
    <w:p w14:paraId="5A2CEBB4" w14:textId="085B3515" w:rsidR="00AB0B45" w:rsidRDefault="00AB0B4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785E473C" w:rsidR="00A01FE9" w:rsidRDefault="00BD5165" w:rsidP="00AB0B4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>/DF</w:t>
      </w:r>
    </w:p>
    <w:p w14:paraId="14A71B64" w14:textId="77777777" w:rsidR="00AB0B45" w:rsidRDefault="00AB0B4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4BC1D048" w:rsidR="00BD5165" w:rsidRPr="00BE02F4" w:rsidRDefault="000012DF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8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12DF" w:rsidRPr="00BE02F4" w14:paraId="3053DFC6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C0A6C" w14:textId="436B0336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88336" w14:textId="2D499259" w:rsidR="000012DF" w:rsidRDefault="000012DF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E8E60" w14:textId="7A801C45" w:rsidR="000012DF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8D81C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77ED7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9E1AE" w14:textId="77777777" w:rsidR="000012DF" w:rsidRPr="00BE02F4" w:rsidRDefault="000012DF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F9CCB61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F81EE2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72C224F4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0012DF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0012DF">
        <w:trPr>
          <w:trHeight w:val="2878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95B10EB" w:rsidR="00BD5165" w:rsidRPr="00BE02F4" w:rsidRDefault="000012DF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07FE7814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0012DF">
              <w:rPr>
                <w:sz w:val="22"/>
                <w:szCs w:val="22"/>
              </w:rPr>
              <w:t>21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0012DF">
              <w:rPr>
                <w:sz w:val="22"/>
                <w:szCs w:val="22"/>
              </w:rPr>
              <w:t>9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5C99E14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0012DF" w:rsidRPr="000012DF">
              <w:rPr>
                <w:sz w:val="23"/>
                <w:szCs w:val="23"/>
              </w:rPr>
              <w:t xml:space="preserve"> PROTOCOLO DE INTENÇÕES</w:t>
            </w:r>
          </w:p>
          <w:p w14:paraId="2944B671" w14:textId="69CFA6F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0012DF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4DDDF323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0012DF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B0B4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3B3C0" w14:textId="77777777" w:rsidR="00C43C6E" w:rsidRDefault="00C43C6E">
      <w:r>
        <w:separator/>
      </w:r>
    </w:p>
  </w:endnote>
  <w:endnote w:type="continuationSeparator" w:id="0">
    <w:p w14:paraId="431C6D7A" w14:textId="77777777" w:rsidR="00C43C6E" w:rsidRDefault="00C4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423411CA" w:rsidR="00A9269D" w:rsidRDefault="00AB0B45" w:rsidP="00AB0B45">
    <w:pPr>
      <w:ind w:left="-1701" w:right="-851" w:firstLine="56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2A24DF2F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A6866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1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9269D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9269D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269D">
      <w:rPr>
        <w:rFonts w:ascii="DaxCondensed-Regular" w:hAnsi="DaxCondensed-Regular"/>
        <w:color w:val="1C3942"/>
        <w:sz w:val="16"/>
        <w:szCs w:val="16"/>
      </w:rPr>
      <w:t>3</w:t>
    </w:r>
    <w:r w:rsidR="00A9269D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180CE82F" w:rsidR="00A9269D" w:rsidRDefault="00A9269D" w:rsidP="00AB0B4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</w:t>
    </w:r>
  </w:p>
  <w:p w14:paraId="71A924E1" w14:textId="77777777" w:rsidR="00A9269D" w:rsidRPr="00030DEF" w:rsidRDefault="00A9269D" w:rsidP="00AB0B45">
    <w:pPr>
      <w:ind w:left="-1701" w:right="-7" w:firstLine="141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0345E" w14:textId="77777777" w:rsidR="00C43C6E" w:rsidRDefault="00C43C6E">
      <w:r>
        <w:separator/>
      </w:r>
    </w:p>
  </w:footnote>
  <w:footnote w:type="continuationSeparator" w:id="0">
    <w:p w14:paraId="024217DE" w14:textId="77777777" w:rsidR="00C43C6E" w:rsidRDefault="00C43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C43C6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453.05pt;height:43pt">
          <v:imagedata r:id="rId1" o:title=""/>
        </v:shape>
        <o:OLEObject Type="Embed" ProgID="CorelDraw.Graphic.16" ShapeID="_x0000_i1041" DrawAspect="Content" ObjectID="_169461478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C43C6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57E72"/>
    <w:multiLevelType w:val="multilevel"/>
    <w:tmpl w:val="00E25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4"/>
  </w:num>
  <w:num w:numId="16">
    <w:abstractNumId w:val="4"/>
  </w:num>
  <w:num w:numId="17">
    <w:abstractNumId w:val="15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12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0B45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3C6E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025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2EB8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415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16</cp:revision>
  <cp:lastPrinted>2021-06-01T18:27:00Z</cp:lastPrinted>
  <dcterms:created xsi:type="dcterms:W3CDTF">2019-02-20T13:23:00Z</dcterms:created>
  <dcterms:modified xsi:type="dcterms:W3CDTF">2021-10-01T20:33:00Z</dcterms:modified>
</cp:coreProperties>
</file>