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4FC60" w14:textId="03EA467B" w:rsidR="00C079CA" w:rsidRPr="00B67A90" w:rsidRDefault="00F36EB3" w:rsidP="00112CAD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left" w:pos="4962"/>
          <w:tab w:val="right" w:pos="8640"/>
        </w:tabs>
        <w:ind w:left="4962"/>
        <w:rPr>
          <w:sz w:val="22"/>
          <w:szCs w:val="22"/>
        </w:rPr>
      </w:pPr>
      <w:r w:rsidRPr="00316A8F">
        <w:rPr>
          <w:color w:val="000000"/>
          <w:sz w:val="20"/>
          <w:szCs w:val="20"/>
        </w:rPr>
        <w:tab/>
      </w:r>
      <w:r w:rsidR="00837BBD" w:rsidRPr="00B67A90">
        <w:rPr>
          <w:rFonts w:eastAsia="Verdana"/>
          <w:bCs/>
          <w:sz w:val="22"/>
          <w:szCs w:val="22"/>
        </w:rPr>
        <w:t xml:space="preserve">Aprova </w:t>
      </w:r>
      <w:r w:rsidR="00152367">
        <w:rPr>
          <w:rFonts w:eastAsia="Verdana"/>
          <w:bCs/>
          <w:sz w:val="22"/>
          <w:szCs w:val="22"/>
        </w:rPr>
        <w:t>o encaminhamento de processo ético-disciplinar ao</w:t>
      </w:r>
      <w:r w:rsidR="00A4500E" w:rsidRPr="00B67A90">
        <w:rPr>
          <w:rFonts w:eastAsia="Verdana"/>
          <w:bCs/>
          <w:sz w:val="22"/>
          <w:szCs w:val="22"/>
        </w:rPr>
        <w:t xml:space="preserve"> </w:t>
      </w:r>
      <w:r w:rsidR="00152367">
        <w:rPr>
          <w:rFonts w:eastAsia="Verdana"/>
          <w:bCs/>
          <w:sz w:val="22"/>
          <w:szCs w:val="22"/>
        </w:rPr>
        <w:t>Conselho de Arquitetura e Urbanismo do Brasil – CAU/BR, para que indique CAU/UF para distribuição da matéria.</w:t>
      </w:r>
    </w:p>
    <w:p w14:paraId="1382B755" w14:textId="77777777" w:rsidR="00C079CA" w:rsidRPr="00B67A90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595C0CF9" w14:textId="7E89DB47" w:rsidR="00A4500E" w:rsidRPr="00B67A90" w:rsidRDefault="00A4500E" w:rsidP="00A4500E">
      <w:pPr>
        <w:rPr>
          <w:rFonts w:eastAsia="Verdana"/>
          <w:sz w:val="22"/>
          <w:szCs w:val="22"/>
        </w:rPr>
      </w:pPr>
      <w:r w:rsidRPr="00B67A90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a seção II, art. 29, do Regimento Interno do CAU/DF, e reunido ordinariamente </w:t>
      </w:r>
      <w:r w:rsidR="00E971C7">
        <w:rPr>
          <w:rFonts w:eastAsia="Verdana"/>
          <w:sz w:val="22"/>
          <w:szCs w:val="22"/>
        </w:rPr>
        <w:t>e presencialmente, na sede do CAU/DF</w:t>
      </w:r>
      <w:r w:rsidRPr="00B67A90">
        <w:rPr>
          <w:rFonts w:eastAsia="Verdana"/>
          <w:sz w:val="22"/>
          <w:szCs w:val="22"/>
        </w:rPr>
        <w:t xml:space="preserve">, no dia </w:t>
      </w:r>
      <w:r w:rsidR="00E971C7">
        <w:rPr>
          <w:rFonts w:eastAsia="Verdana"/>
          <w:sz w:val="22"/>
          <w:szCs w:val="22"/>
        </w:rPr>
        <w:t>2</w:t>
      </w:r>
      <w:r w:rsidR="00152367">
        <w:rPr>
          <w:rFonts w:eastAsia="Verdana"/>
          <w:sz w:val="22"/>
          <w:szCs w:val="22"/>
        </w:rPr>
        <w:t>0</w:t>
      </w:r>
      <w:r w:rsidRPr="00B67A90">
        <w:rPr>
          <w:rFonts w:eastAsia="Verdana"/>
          <w:sz w:val="22"/>
          <w:szCs w:val="22"/>
        </w:rPr>
        <w:t xml:space="preserve"> de</w:t>
      </w:r>
      <w:r w:rsidR="00152367">
        <w:rPr>
          <w:rFonts w:eastAsia="Verdana"/>
          <w:sz w:val="22"/>
          <w:szCs w:val="22"/>
        </w:rPr>
        <w:t xml:space="preserve"> </w:t>
      </w:r>
      <w:r w:rsidR="00E971C7">
        <w:rPr>
          <w:rFonts w:eastAsia="Verdana"/>
          <w:sz w:val="22"/>
          <w:szCs w:val="22"/>
        </w:rPr>
        <w:t>dezembro</w:t>
      </w:r>
      <w:r w:rsidRPr="00B67A90">
        <w:rPr>
          <w:rFonts w:eastAsia="Verdana"/>
          <w:sz w:val="22"/>
          <w:szCs w:val="22"/>
        </w:rPr>
        <w:t xml:space="preserve"> de 2021, após análise do processo em epígrafe, e</w:t>
      </w:r>
    </w:p>
    <w:p w14:paraId="1E57BE8B" w14:textId="27359CE2" w:rsidR="00A4500E" w:rsidRPr="00B67A90" w:rsidRDefault="00A4500E" w:rsidP="00330ED8">
      <w:pPr>
        <w:rPr>
          <w:rFonts w:eastAsia="Verdana"/>
          <w:sz w:val="22"/>
          <w:szCs w:val="22"/>
        </w:rPr>
      </w:pPr>
    </w:p>
    <w:p w14:paraId="71A6EFDB" w14:textId="050D4D3D" w:rsidR="00A4500E" w:rsidRPr="00B67A90" w:rsidRDefault="00A4500E" w:rsidP="00A4500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B67A90">
        <w:rPr>
          <w:sz w:val="22"/>
          <w:szCs w:val="22"/>
        </w:rPr>
        <w:t>Considerando o artigo 29, inciso LXIV, do Regimento Interno do CAU/DF, que dispõe como competência do Plenário do CAU/DF: “</w:t>
      </w:r>
      <w:r w:rsidRPr="00B67A90">
        <w:rPr>
          <w:i/>
          <w:sz w:val="22"/>
          <w:szCs w:val="22"/>
        </w:rPr>
        <w:t>apreciar e deliberar sobre julgamento, em primeira instância, de processos de infração ético-disciplinares, na forma dos atos normativos do CAU/BR</w:t>
      </w:r>
      <w:r w:rsidRPr="00B67A90">
        <w:rPr>
          <w:sz w:val="22"/>
          <w:szCs w:val="22"/>
        </w:rPr>
        <w:t>”;</w:t>
      </w:r>
    </w:p>
    <w:p w14:paraId="6A58D907" w14:textId="6D8AC066" w:rsidR="00A4500E" w:rsidRPr="00B67A90" w:rsidRDefault="00A4500E" w:rsidP="00A4500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396F185D" w14:textId="22A0E5C6" w:rsidR="00A162E8" w:rsidRDefault="00A4500E" w:rsidP="00A162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B67A90">
        <w:rPr>
          <w:sz w:val="22"/>
          <w:szCs w:val="22"/>
        </w:rPr>
        <w:t xml:space="preserve">Considerando que trata, </w:t>
      </w:r>
      <w:r w:rsidR="00A162E8" w:rsidRPr="00A162E8">
        <w:rPr>
          <w:sz w:val="22"/>
          <w:szCs w:val="22"/>
        </w:rPr>
        <w:t xml:space="preserve">o presente processo de denúncia em desfavor da arquiteta e urbanista </w:t>
      </w:r>
      <w:r w:rsidR="008F30B1" w:rsidRPr="004F79E5">
        <w:rPr>
          <w:sz w:val="22"/>
          <w:szCs w:val="22"/>
          <w:highlight w:val="black"/>
        </w:rPr>
        <w:t>XXXXXXXXXX</w:t>
      </w:r>
      <w:r w:rsidR="008F30B1" w:rsidRPr="008F30B1">
        <w:rPr>
          <w:sz w:val="22"/>
          <w:szCs w:val="22"/>
          <w:highlight w:val="black"/>
        </w:rPr>
        <w:t xml:space="preserve"> </w:t>
      </w:r>
      <w:proofErr w:type="spellStart"/>
      <w:r w:rsidR="008F30B1" w:rsidRPr="004F79E5">
        <w:rPr>
          <w:sz w:val="22"/>
          <w:szCs w:val="22"/>
          <w:highlight w:val="black"/>
        </w:rPr>
        <w:t>XXXXXXXXXX</w:t>
      </w:r>
      <w:proofErr w:type="spellEnd"/>
      <w:r w:rsidR="00A162E8" w:rsidRPr="00A162E8">
        <w:rPr>
          <w:sz w:val="22"/>
          <w:szCs w:val="22"/>
        </w:rPr>
        <w:t xml:space="preserve">, por suposto assédio moral e racismo contra a denunciante arquiteta </w:t>
      </w:r>
      <w:r w:rsidR="008F30B1" w:rsidRPr="004F79E5">
        <w:rPr>
          <w:sz w:val="22"/>
          <w:szCs w:val="22"/>
          <w:highlight w:val="black"/>
        </w:rPr>
        <w:t>XXXXXXXXXX</w:t>
      </w:r>
      <w:r w:rsidR="008F30B1" w:rsidRPr="008F30B1">
        <w:rPr>
          <w:sz w:val="22"/>
          <w:szCs w:val="22"/>
          <w:highlight w:val="black"/>
        </w:rPr>
        <w:t xml:space="preserve"> </w:t>
      </w:r>
      <w:proofErr w:type="spellStart"/>
      <w:r w:rsidR="008F30B1" w:rsidRPr="004F79E5">
        <w:rPr>
          <w:sz w:val="22"/>
          <w:szCs w:val="22"/>
          <w:highlight w:val="black"/>
        </w:rPr>
        <w:t>XXXXXXXXXX</w:t>
      </w:r>
      <w:proofErr w:type="spellEnd"/>
      <w:r w:rsidR="00A162E8" w:rsidRPr="00A162E8">
        <w:rPr>
          <w:sz w:val="22"/>
          <w:szCs w:val="22"/>
        </w:rPr>
        <w:t xml:space="preserve">, durante os trabalhos de elaboração de projeto de execução da </w:t>
      </w:r>
      <w:r w:rsidR="008F30B1" w:rsidRPr="004F79E5">
        <w:rPr>
          <w:sz w:val="22"/>
          <w:szCs w:val="22"/>
          <w:highlight w:val="black"/>
        </w:rPr>
        <w:t>XXXXXXXXXX</w:t>
      </w:r>
      <w:r w:rsidR="008F30B1" w:rsidRPr="008F30B1">
        <w:rPr>
          <w:sz w:val="22"/>
          <w:szCs w:val="22"/>
          <w:highlight w:val="black"/>
        </w:rPr>
        <w:t xml:space="preserve"> </w:t>
      </w:r>
      <w:proofErr w:type="spellStart"/>
      <w:r w:rsidR="008F30B1" w:rsidRPr="004F79E5">
        <w:rPr>
          <w:sz w:val="22"/>
          <w:szCs w:val="22"/>
          <w:highlight w:val="black"/>
        </w:rPr>
        <w:t>XXXXXXXXXX</w:t>
      </w:r>
      <w:proofErr w:type="spellEnd"/>
      <w:r w:rsidR="00A162E8" w:rsidRPr="00A162E8">
        <w:rPr>
          <w:sz w:val="22"/>
          <w:szCs w:val="22"/>
        </w:rPr>
        <w:t xml:space="preserve">, gerido pelo </w:t>
      </w:r>
      <w:r w:rsidR="008F30B1" w:rsidRPr="004F79E5">
        <w:rPr>
          <w:sz w:val="22"/>
          <w:szCs w:val="22"/>
          <w:highlight w:val="black"/>
        </w:rPr>
        <w:t>XXXXXXXXXX</w:t>
      </w:r>
      <w:r w:rsidR="008F30B1" w:rsidRPr="00A162E8">
        <w:rPr>
          <w:sz w:val="22"/>
          <w:szCs w:val="22"/>
        </w:rPr>
        <w:t xml:space="preserve"> </w:t>
      </w:r>
      <w:r w:rsidR="00A162E8" w:rsidRPr="00A162E8">
        <w:rPr>
          <w:sz w:val="22"/>
          <w:szCs w:val="22"/>
        </w:rPr>
        <w:t xml:space="preserve">– </w:t>
      </w:r>
      <w:r w:rsidR="008F30B1" w:rsidRPr="004F79E5">
        <w:rPr>
          <w:sz w:val="22"/>
          <w:szCs w:val="22"/>
          <w:highlight w:val="black"/>
        </w:rPr>
        <w:t>XXXXXXXXXX</w:t>
      </w:r>
      <w:r w:rsidR="00A162E8" w:rsidRPr="00A162E8">
        <w:rPr>
          <w:sz w:val="22"/>
          <w:szCs w:val="22"/>
        </w:rPr>
        <w:t xml:space="preserve"> (</w:t>
      </w:r>
      <w:r w:rsidR="008F30B1" w:rsidRPr="004F79E5">
        <w:rPr>
          <w:sz w:val="22"/>
          <w:szCs w:val="22"/>
          <w:highlight w:val="black"/>
        </w:rPr>
        <w:t>XXXXXXXXXX</w:t>
      </w:r>
      <w:r w:rsidR="008F30B1" w:rsidRPr="008F30B1">
        <w:rPr>
          <w:sz w:val="22"/>
          <w:szCs w:val="22"/>
          <w:highlight w:val="black"/>
        </w:rPr>
        <w:t xml:space="preserve"> </w:t>
      </w:r>
      <w:r w:rsidR="008F30B1" w:rsidRPr="004F79E5">
        <w:rPr>
          <w:sz w:val="22"/>
          <w:szCs w:val="22"/>
          <w:highlight w:val="black"/>
        </w:rPr>
        <w:t>XXXXXXXXXX</w:t>
      </w:r>
      <w:r w:rsidR="00A162E8" w:rsidRPr="00A162E8">
        <w:rPr>
          <w:sz w:val="22"/>
          <w:szCs w:val="22"/>
        </w:rPr>
        <w:t>);</w:t>
      </w:r>
    </w:p>
    <w:p w14:paraId="70716245" w14:textId="77777777" w:rsidR="00A162E8" w:rsidRDefault="00A162E8" w:rsidP="00A162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72935D55" w14:textId="01E8037C" w:rsidR="00A162E8" w:rsidRDefault="00A162E8" w:rsidP="00A162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326B4A">
        <w:rPr>
          <w:sz w:val="22"/>
          <w:szCs w:val="22"/>
        </w:rPr>
        <w:t xml:space="preserve">O processo originou-se a partir de denúncia registrada no SICCAU sob o n. 26763, enviada no dia 21 de junho de 2020. Segundo denúncia, uma equipe de arquitetos foi contratada pela arquiteta </w:t>
      </w:r>
      <w:r w:rsidR="008F30B1" w:rsidRPr="004F79E5">
        <w:rPr>
          <w:sz w:val="22"/>
          <w:szCs w:val="22"/>
          <w:highlight w:val="black"/>
        </w:rPr>
        <w:t>XXXXXXXXXX</w:t>
      </w:r>
      <w:r w:rsidRPr="00326B4A">
        <w:rPr>
          <w:sz w:val="22"/>
          <w:szCs w:val="22"/>
        </w:rPr>
        <w:t xml:space="preserve"> para desenvolver o </w:t>
      </w:r>
      <w:r w:rsidR="008F30B1" w:rsidRPr="004F79E5">
        <w:rPr>
          <w:sz w:val="22"/>
          <w:szCs w:val="22"/>
          <w:highlight w:val="black"/>
        </w:rPr>
        <w:t>XXXXXXXXXX</w:t>
      </w:r>
      <w:r w:rsidR="008F30B1" w:rsidRPr="008F30B1">
        <w:rPr>
          <w:sz w:val="22"/>
          <w:szCs w:val="22"/>
          <w:highlight w:val="black"/>
        </w:rPr>
        <w:t xml:space="preserve"> </w:t>
      </w:r>
      <w:proofErr w:type="spellStart"/>
      <w:r w:rsidR="008F30B1" w:rsidRPr="004F79E5">
        <w:rPr>
          <w:sz w:val="22"/>
          <w:szCs w:val="22"/>
          <w:highlight w:val="black"/>
        </w:rPr>
        <w:t>XXXXXXXXXX</w:t>
      </w:r>
      <w:proofErr w:type="spellEnd"/>
      <w:r w:rsidR="008F30B1" w:rsidRPr="008F30B1">
        <w:rPr>
          <w:sz w:val="22"/>
          <w:szCs w:val="22"/>
          <w:highlight w:val="black"/>
        </w:rPr>
        <w:t xml:space="preserve"> </w:t>
      </w:r>
      <w:proofErr w:type="spellStart"/>
      <w:r w:rsidR="008F30B1" w:rsidRPr="004F79E5">
        <w:rPr>
          <w:sz w:val="22"/>
          <w:szCs w:val="22"/>
          <w:highlight w:val="black"/>
        </w:rPr>
        <w:t>XXXXXXXXXX</w:t>
      </w:r>
      <w:proofErr w:type="spellEnd"/>
      <w:r w:rsidRPr="00326B4A">
        <w:rPr>
          <w:sz w:val="22"/>
          <w:szCs w:val="22"/>
        </w:rPr>
        <w:t xml:space="preserve">, serviço contratado pela </w:t>
      </w:r>
      <w:r w:rsidR="008F30B1" w:rsidRPr="004F79E5">
        <w:rPr>
          <w:sz w:val="22"/>
          <w:szCs w:val="22"/>
          <w:highlight w:val="black"/>
        </w:rPr>
        <w:t>XXXXXXXXXX</w:t>
      </w:r>
      <w:r w:rsidR="008F30B1" w:rsidRPr="008F30B1">
        <w:rPr>
          <w:sz w:val="22"/>
          <w:szCs w:val="22"/>
          <w:highlight w:val="black"/>
        </w:rPr>
        <w:t xml:space="preserve"> </w:t>
      </w:r>
      <w:proofErr w:type="spellStart"/>
      <w:r w:rsidR="008F30B1" w:rsidRPr="004F79E5">
        <w:rPr>
          <w:sz w:val="22"/>
          <w:szCs w:val="22"/>
          <w:highlight w:val="black"/>
        </w:rPr>
        <w:t>XXXXXXXXXX</w:t>
      </w:r>
      <w:proofErr w:type="spellEnd"/>
      <w:r w:rsidRPr="00326B4A">
        <w:rPr>
          <w:sz w:val="22"/>
          <w:szCs w:val="22"/>
        </w:rPr>
        <w:t>. O assédio moral se deu presencialmente e por meio de trocas de mensagens no Whats</w:t>
      </w:r>
      <w:r w:rsidR="000435C8">
        <w:rPr>
          <w:sz w:val="22"/>
          <w:szCs w:val="22"/>
        </w:rPr>
        <w:t>A</w:t>
      </w:r>
      <w:r w:rsidRPr="00326B4A">
        <w:rPr>
          <w:sz w:val="22"/>
          <w:szCs w:val="22"/>
        </w:rPr>
        <w:t xml:space="preserve">pp entre a equipe contratada e a gestora </w:t>
      </w:r>
      <w:r w:rsidR="008F30B1" w:rsidRPr="004F79E5">
        <w:rPr>
          <w:sz w:val="22"/>
          <w:szCs w:val="22"/>
          <w:highlight w:val="black"/>
        </w:rPr>
        <w:t>XXXXXXXXXX</w:t>
      </w:r>
      <w:r>
        <w:rPr>
          <w:sz w:val="22"/>
          <w:szCs w:val="22"/>
        </w:rPr>
        <w:t>;</w:t>
      </w:r>
    </w:p>
    <w:p w14:paraId="6A494D8E" w14:textId="77777777" w:rsidR="00A162E8" w:rsidRPr="00326B4A" w:rsidRDefault="00A162E8" w:rsidP="00A162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1A70846F" w14:textId="19313AA6" w:rsidR="00A162E8" w:rsidRDefault="00A162E8" w:rsidP="00A162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326B4A">
        <w:rPr>
          <w:sz w:val="22"/>
          <w:szCs w:val="22"/>
        </w:rPr>
        <w:t>Constam nos autos a denúncia, detalhada pela denunciante (fls</w:t>
      </w:r>
      <w:r>
        <w:rPr>
          <w:sz w:val="22"/>
          <w:szCs w:val="22"/>
        </w:rPr>
        <w:t xml:space="preserve">. </w:t>
      </w:r>
      <w:r w:rsidRPr="00326B4A">
        <w:rPr>
          <w:sz w:val="22"/>
          <w:szCs w:val="22"/>
        </w:rPr>
        <w:t>03-22), a deliberação de admissibilidade (fls. Fls. 60-63) de 10 de setembro de 2020, e a defesa da denunciada (fls</w:t>
      </w:r>
      <w:r>
        <w:rPr>
          <w:sz w:val="22"/>
          <w:szCs w:val="22"/>
        </w:rPr>
        <w:t>.</w:t>
      </w:r>
      <w:r w:rsidRPr="00326B4A">
        <w:rPr>
          <w:sz w:val="22"/>
          <w:szCs w:val="22"/>
        </w:rPr>
        <w:t xml:space="preserve"> 73-88)</w:t>
      </w:r>
      <w:r>
        <w:rPr>
          <w:sz w:val="22"/>
          <w:szCs w:val="22"/>
        </w:rPr>
        <w:t>;</w:t>
      </w:r>
    </w:p>
    <w:p w14:paraId="10A3A1AA" w14:textId="77777777" w:rsidR="00A162E8" w:rsidRPr="00326B4A" w:rsidRDefault="00A162E8" w:rsidP="00A162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69956838" w14:textId="591325A8" w:rsidR="00A162E8" w:rsidRDefault="00A162E8" w:rsidP="00A162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326B4A">
        <w:rPr>
          <w:sz w:val="22"/>
          <w:szCs w:val="22"/>
        </w:rPr>
        <w:t xml:space="preserve">Ocorre que, à época da denúncia e da admissibilidade, a arquiteta </w:t>
      </w:r>
      <w:r w:rsidR="008F30B1" w:rsidRPr="004F79E5">
        <w:rPr>
          <w:sz w:val="22"/>
          <w:szCs w:val="22"/>
          <w:highlight w:val="black"/>
        </w:rPr>
        <w:t>XXXXXXXXXX</w:t>
      </w:r>
      <w:r w:rsidR="008F30B1" w:rsidRPr="00326B4A">
        <w:rPr>
          <w:sz w:val="22"/>
          <w:szCs w:val="22"/>
        </w:rPr>
        <w:t xml:space="preserve"> </w:t>
      </w:r>
      <w:r w:rsidRPr="00326B4A">
        <w:rPr>
          <w:sz w:val="22"/>
          <w:szCs w:val="22"/>
        </w:rPr>
        <w:t>não era conselheira do CAU/DF, condição que assumiu em janeiro deste ano de 2021, por meio de votação pública em chapa vencedora</w:t>
      </w:r>
      <w:r>
        <w:rPr>
          <w:sz w:val="22"/>
          <w:szCs w:val="22"/>
        </w:rPr>
        <w:t>;</w:t>
      </w:r>
      <w:r w:rsidRPr="00326B4A">
        <w:rPr>
          <w:sz w:val="22"/>
          <w:szCs w:val="22"/>
        </w:rPr>
        <w:t xml:space="preserve"> </w:t>
      </w:r>
    </w:p>
    <w:p w14:paraId="1ECD9EEC" w14:textId="77777777" w:rsidR="00A162E8" w:rsidRPr="00326B4A" w:rsidRDefault="00A162E8" w:rsidP="00A162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23CC1AA4" w14:textId="562CE102" w:rsidR="00A162E8" w:rsidRDefault="00A162E8" w:rsidP="00A162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326B4A">
        <w:rPr>
          <w:sz w:val="22"/>
          <w:szCs w:val="22"/>
        </w:rPr>
        <w:t xml:space="preserve">Considerando que a Comissão de Ética e Disciplina </w:t>
      </w:r>
      <w:r w:rsidR="000435C8" w:rsidRPr="00326B4A">
        <w:rPr>
          <w:sz w:val="22"/>
          <w:szCs w:val="22"/>
        </w:rPr>
        <w:t>se manifestou</w:t>
      </w:r>
      <w:r w:rsidRPr="00326B4A">
        <w:rPr>
          <w:sz w:val="22"/>
          <w:szCs w:val="22"/>
        </w:rPr>
        <w:t xml:space="preserve"> </w:t>
      </w:r>
      <w:r w:rsidR="0045233C">
        <w:rPr>
          <w:sz w:val="22"/>
          <w:szCs w:val="22"/>
        </w:rPr>
        <w:t>suspeita</w:t>
      </w:r>
      <w:r w:rsidRPr="00326B4A">
        <w:rPr>
          <w:sz w:val="22"/>
          <w:szCs w:val="22"/>
        </w:rPr>
        <w:t xml:space="preserve"> de continuar a análise do caso, nos termos do artigo 16 da Resolução 143 de 24 de junho de 2017, que cita: </w:t>
      </w:r>
    </w:p>
    <w:p w14:paraId="7E19996C" w14:textId="77777777" w:rsidR="00A162E8" w:rsidRPr="00326B4A" w:rsidRDefault="00A162E8" w:rsidP="00A162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6826C770" w14:textId="371FC317" w:rsidR="00A162E8" w:rsidRPr="00A162E8" w:rsidRDefault="00A162E8" w:rsidP="00A162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720"/>
        <w:rPr>
          <w:i/>
          <w:iCs/>
          <w:sz w:val="22"/>
          <w:szCs w:val="22"/>
        </w:rPr>
      </w:pPr>
      <w:r w:rsidRPr="00A162E8">
        <w:rPr>
          <w:i/>
          <w:iCs/>
          <w:sz w:val="22"/>
          <w:szCs w:val="22"/>
        </w:rPr>
        <w:t xml:space="preserve">Art. 16. Nos processos ético-disciplinares em que a CED/UF ou o Plenário do CAU/UF constatar que mais da metade dos conselheiros da respectiva autarquia esteja suspeita, ou se encontre impedida de atuar, o CAU/UF deverá solicitar ao CAU/BR que, em decisão plenária, indique outro CAU/UF para fazer a instrução e julgamento do processo, em primeira instância. </w:t>
      </w:r>
    </w:p>
    <w:p w14:paraId="588C10C3" w14:textId="7B10EA34" w:rsidR="00A162E8" w:rsidRDefault="00A162E8" w:rsidP="00A162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52F5D629" w14:textId="3C25B3BE" w:rsidR="00A162E8" w:rsidRDefault="00A162E8" w:rsidP="00A162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0D6D597E" w14:textId="77777777" w:rsidR="00A162E8" w:rsidRPr="00A162E8" w:rsidRDefault="00A162E8" w:rsidP="00A162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1D9733BF" w14:textId="370EE59B" w:rsidR="00A162E8" w:rsidRDefault="00A162E8" w:rsidP="00A162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>Considerando a Deliberação n.º 014/2021 – CED-CAU/DF que deliberou:</w:t>
      </w:r>
    </w:p>
    <w:p w14:paraId="0ED55EEC" w14:textId="77777777" w:rsidR="00A162E8" w:rsidRPr="00A162E8" w:rsidRDefault="00A162E8" w:rsidP="00A162E8">
      <w:pPr>
        <w:spacing w:before="120" w:after="120" w:line="360" w:lineRule="auto"/>
        <w:ind w:left="720"/>
        <w:rPr>
          <w:i/>
          <w:iCs/>
          <w:sz w:val="22"/>
          <w:szCs w:val="22"/>
        </w:rPr>
      </w:pPr>
      <w:r w:rsidRPr="00A162E8">
        <w:rPr>
          <w:rFonts w:eastAsia="Verdana"/>
          <w:i/>
          <w:iCs/>
          <w:sz w:val="22"/>
          <w:szCs w:val="22"/>
        </w:rPr>
        <w:t>1 - A</w:t>
      </w:r>
      <w:r w:rsidRPr="00A162E8">
        <w:rPr>
          <w:i/>
          <w:iCs/>
          <w:sz w:val="22"/>
          <w:szCs w:val="22"/>
        </w:rPr>
        <w:t>provar o relato e voto da conselheira relatora pelo encaminhamento da matéria ao Plenário do CAU/DF uma vez que todos os membros da CED-CAU/DF se consideraram impedidos de relatar o presente processo;</w:t>
      </w:r>
    </w:p>
    <w:p w14:paraId="2AA7436D" w14:textId="77777777" w:rsidR="00A162E8" w:rsidRPr="00A162E8" w:rsidRDefault="00A162E8" w:rsidP="00A162E8">
      <w:pPr>
        <w:spacing w:before="120" w:after="120" w:line="360" w:lineRule="auto"/>
        <w:ind w:left="720"/>
        <w:rPr>
          <w:i/>
          <w:iCs/>
          <w:sz w:val="22"/>
          <w:szCs w:val="22"/>
        </w:rPr>
      </w:pPr>
      <w:r w:rsidRPr="00A162E8">
        <w:rPr>
          <w:rFonts w:eastAsia="Verdana"/>
          <w:i/>
          <w:iCs/>
          <w:sz w:val="22"/>
          <w:szCs w:val="22"/>
        </w:rPr>
        <w:t>2 – Sugerir ao Plenário do CAU/DF que encaminhe a matéria ao CAU/BR para distribuição do processo a outro CAU/UF.</w:t>
      </w:r>
    </w:p>
    <w:p w14:paraId="38C830AE" w14:textId="6FA6F13B" w:rsidR="0040406A" w:rsidRPr="0033028B" w:rsidRDefault="0040406A" w:rsidP="0040406A">
      <w:pPr>
        <w:spacing w:before="120" w:after="120" w:line="360" w:lineRule="auto"/>
        <w:rPr>
          <w:sz w:val="22"/>
          <w:szCs w:val="22"/>
        </w:rPr>
      </w:pPr>
      <w:r w:rsidRPr="0033028B">
        <w:rPr>
          <w:sz w:val="22"/>
          <w:szCs w:val="22"/>
        </w:rPr>
        <w:t>No dia 30 de agosto de 2021, o Plenário do CAU/DF, em Deliberação Plenária DPODF 43</w:t>
      </w:r>
      <w:r>
        <w:rPr>
          <w:sz w:val="22"/>
          <w:szCs w:val="22"/>
        </w:rPr>
        <w:t>1</w:t>
      </w:r>
      <w:r w:rsidRPr="0033028B">
        <w:rPr>
          <w:sz w:val="22"/>
          <w:szCs w:val="22"/>
        </w:rPr>
        <w:t>/2021, deliberou por solicitar ao CAU/BR – que, em decisão plenária indique outro CAU/UF para fazer a instrução e julgamento do processo;</w:t>
      </w:r>
    </w:p>
    <w:p w14:paraId="73005747" w14:textId="77777777" w:rsidR="0040406A" w:rsidRPr="0033028B" w:rsidRDefault="0040406A" w:rsidP="0040406A">
      <w:pPr>
        <w:spacing w:before="120" w:after="120" w:line="360" w:lineRule="auto"/>
        <w:rPr>
          <w:b/>
          <w:bCs/>
          <w:sz w:val="22"/>
          <w:szCs w:val="22"/>
        </w:rPr>
      </w:pPr>
      <w:r w:rsidRPr="0033028B">
        <w:rPr>
          <w:sz w:val="22"/>
          <w:szCs w:val="22"/>
        </w:rPr>
        <w:t xml:space="preserve">No início de setembro, o processo foi encaminhado ao CAU/BR por meio do SICCAU e encaminhado de volta ao CAU/DF, com o Ofício 320/2021-CAU-BR, datado de 11 de novembro de 2021, para realização de diligência no sentido de atender determinação da CED do CAU/BR, conforme Deliberação nº 006/2021-CED-CAU/BR, de 5 de março de 2021, que firma o entendimento que as declarações de impedimento e suspeição de conselheiros em processos ético disciplinares devem ser expressamente motivadas (princípio da motivação) com fundamento nos motivos previstos nos </w:t>
      </w:r>
      <w:proofErr w:type="spellStart"/>
      <w:r w:rsidRPr="0033028B">
        <w:rPr>
          <w:sz w:val="22"/>
          <w:szCs w:val="22"/>
        </w:rPr>
        <w:t>arts</w:t>
      </w:r>
      <w:proofErr w:type="spellEnd"/>
      <w:r w:rsidRPr="0033028B">
        <w:rPr>
          <w:sz w:val="22"/>
          <w:szCs w:val="22"/>
        </w:rPr>
        <w:t xml:space="preserve">. 109 ou 110 da Resolução CAU/BR nº 143, de 2017, </w:t>
      </w:r>
      <w:r w:rsidRPr="0033028B">
        <w:rPr>
          <w:b/>
          <w:bCs/>
          <w:sz w:val="22"/>
          <w:szCs w:val="22"/>
        </w:rPr>
        <w:t>à exceção da declaração de suspeição por foro íntimo</w:t>
      </w:r>
      <w:r w:rsidRPr="0033028B">
        <w:rPr>
          <w:sz w:val="22"/>
          <w:szCs w:val="22"/>
        </w:rPr>
        <w:t xml:space="preserve">, que, a par de não comportar a exigência de motivação, </w:t>
      </w:r>
      <w:r w:rsidRPr="0033028B">
        <w:rPr>
          <w:b/>
          <w:bCs/>
          <w:sz w:val="22"/>
          <w:szCs w:val="22"/>
        </w:rPr>
        <w:t>reclama a necessidade de o conselheiro, ao se declarar suspeito, declinar expressamente a qualificadora “foro íntimo” quando essa for a hipótese;</w:t>
      </w:r>
    </w:p>
    <w:p w14:paraId="5A5E5721" w14:textId="7281458A" w:rsidR="0040406A" w:rsidRPr="0040406A" w:rsidRDefault="0040406A" w:rsidP="0040406A">
      <w:pPr>
        <w:spacing w:before="120" w:after="120" w:line="360" w:lineRule="auto"/>
        <w:rPr>
          <w:rFonts w:eastAsia="Verdana"/>
          <w:bCs/>
          <w:sz w:val="22"/>
          <w:szCs w:val="22"/>
        </w:rPr>
      </w:pPr>
      <w:r w:rsidRPr="0033028B">
        <w:rPr>
          <w:rFonts w:eastAsia="Verdana"/>
          <w:bCs/>
          <w:sz w:val="22"/>
          <w:szCs w:val="22"/>
        </w:rPr>
        <w:t>Considerando a necessidade de cumprimento da diligência</w:t>
      </w:r>
      <w:r w:rsidRPr="0033028B">
        <w:rPr>
          <w:bCs/>
          <w:sz w:val="22"/>
          <w:szCs w:val="22"/>
        </w:rPr>
        <w:t xml:space="preserve"> no sentido de atender determinação da CED do CAU/BR,</w:t>
      </w:r>
      <w:r w:rsidRPr="0033028B">
        <w:rPr>
          <w:rFonts w:eastAsia="Verdana"/>
          <w:bCs/>
          <w:sz w:val="22"/>
          <w:szCs w:val="22"/>
        </w:rPr>
        <w:t xml:space="preserve"> acima mencionada, o feito foi novamente colocado em votação;</w:t>
      </w:r>
    </w:p>
    <w:p w14:paraId="752B86D4" w14:textId="6455A88E" w:rsidR="00152367" w:rsidRDefault="0045233C" w:rsidP="00A162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Considerando que mais da metade dos conselheiros</w:t>
      </w:r>
      <w:r w:rsidR="00E27416">
        <w:rPr>
          <w:sz w:val="22"/>
          <w:szCs w:val="22"/>
        </w:rPr>
        <w:t xml:space="preserve"> do Plenário</w:t>
      </w:r>
      <w:r>
        <w:rPr>
          <w:sz w:val="22"/>
          <w:szCs w:val="22"/>
        </w:rPr>
        <w:t xml:space="preserve">, </w:t>
      </w:r>
      <w:r w:rsidR="00E27416">
        <w:rPr>
          <w:sz w:val="22"/>
          <w:szCs w:val="22"/>
        </w:rPr>
        <w:t>quais sejam</w:t>
      </w:r>
      <w:r>
        <w:rPr>
          <w:sz w:val="22"/>
          <w:szCs w:val="22"/>
        </w:rPr>
        <w:t xml:space="preserve">: Giselle Moll Mascarenhas, Ricardo Reis Meira, João Eduardo Martins Dantas, Luís Fernando Zeferino, Janaína Domingos Vieira, Mariana Roberti Bomtempo (em titularidade) e Jéssica Costa Spehar, do Plenário do CAU/DF, se declararam </w:t>
      </w:r>
      <w:r w:rsidRPr="00E27416">
        <w:rPr>
          <w:b/>
          <w:bCs/>
          <w:sz w:val="22"/>
          <w:szCs w:val="22"/>
        </w:rPr>
        <w:t xml:space="preserve">SUSPEITOS </w:t>
      </w:r>
      <w:r w:rsidR="00E27416" w:rsidRPr="00E27416">
        <w:rPr>
          <w:b/>
          <w:bCs/>
          <w:sz w:val="22"/>
          <w:szCs w:val="22"/>
        </w:rPr>
        <w:t>POR FORO ÍNTIMO</w:t>
      </w:r>
      <w:r w:rsidR="00E27416">
        <w:rPr>
          <w:sz w:val="22"/>
          <w:szCs w:val="22"/>
        </w:rPr>
        <w:t xml:space="preserve"> </w:t>
      </w:r>
      <w:r>
        <w:rPr>
          <w:sz w:val="22"/>
          <w:szCs w:val="22"/>
        </w:rPr>
        <w:t>de continuar a análise e julgamento do caso, nos termos do artigo 16 da Resolução 143 de 24 de junho de 2017</w:t>
      </w:r>
      <w:r w:rsidR="00A162E8">
        <w:rPr>
          <w:sz w:val="22"/>
          <w:szCs w:val="22"/>
        </w:rPr>
        <w:t>, já citado;</w:t>
      </w:r>
      <w:r w:rsidR="00152367">
        <w:rPr>
          <w:sz w:val="22"/>
          <w:szCs w:val="22"/>
        </w:rPr>
        <w:t xml:space="preserve"> </w:t>
      </w:r>
    </w:p>
    <w:p w14:paraId="45303F4E" w14:textId="66F96681" w:rsidR="0040406A" w:rsidRDefault="0040406A" w:rsidP="00A162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08DE5488" w14:textId="545DADF0" w:rsidR="0040406A" w:rsidRDefault="0040406A" w:rsidP="00A162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28E6A36F" w14:textId="3318AB99" w:rsidR="0040406A" w:rsidRDefault="0040406A" w:rsidP="00A162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547BD0FE" w14:textId="2D0D73E5" w:rsidR="0040406A" w:rsidRDefault="0040406A" w:rsidP="00A162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7823E6F0" w14:textId="145F81B9" w:rsidR="0040406A" w:rsidRDefault="0040406A" w:rsidP="00A162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2F00457D" w14:textId="77777777" w:rsidR="0040406A" w:rsidRDefault="0040406A" w:rsidP="00A162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09247223" w14:textId="77777777" w:rsidR="00A162E8" w:rsidRDefault="00A162E8" w:rsidP="00A162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B74ACF2" w:rsidR="00C079CA" w:rsidRDefault="00F36EB3" w:rsidP="00F8374E">
      <w:pPr>
        <w:spacing w:line="360" w:lineRule="auto"/>
        <w:rPr>
          <w:b/>
          <w:sz w:val="22"/>
          <w:szCs w:val="22"/>
        </w:rPr>
      </w:pPr>
      <w:r w:rsidRPr="00B67A90">
        <w:rPr>
          <w:b/>
          <w:sz w:val="22"/>
          <w:szCs w:val="22"/>
        </w:rPr>
        <w:lastRenderedPageBreak/>
        <w:t>DELIBEROU:</w:t>
      </w:r>
    </w:p>
    <w:p w14:paraId="4F0D4E82" w14:textId="6456CC64" w:rsidR="00C111AE" w:rsidRDefault="00C56A8C" w:rsidP="00A162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B67A90">
        <w:rPr>
          <w:sz w:val="22"/>
          <w:szCs w:val="22"/>
        </w:rPr>
        <w:t xml:space="preserve">1 – </w:t>
      </w:r>
      <w:r w:rsidR="00E27416">
        <w:rPr>
          <w:sz w:val="22"/>
          <w:szCs w:val="22"/>
        </w:rPr>
        <w:t>Por acatar a Deliberação n.º 014/2021 – CED-CAU/DF</w:t>
      </w:r>
      <w:r w:rsidR="00857088">
        <w:rPr>
          <w:sz w:val="22"/>
          <w:szCs w:val="22"/>
        </w:rPr>
        <w:t>;</w:t>
      </w:r>
    </w:p>
    <w:p w14:paraId="017A3CE7" w14:textId="497F13E1" w:rsidR="00E27416" w:rsidRDefault="00E27416" w:rsidP="00A162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07A904DC" w14:textId="36D56125" w:rsidR="00316A8F" w:rsidRPr="00A162E8" w:rsidRDefault="00E27416" w:rsidP="00A162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>
        <w:rPr>
          <w:sz w:val="22"/>
          <w:szCs w:val="22"/>
        </w:rPr>
        <w:t>2</w:t>
      </w:r>
      <w:r w:rsidRPr="00B67A90">
        <w:rPr>
          <w:sz w:val="22"/>
          <w:szCs w:val="22"/>
        </w:rPr>
        <w:t xml:space="preserve"> – </w:t>
      </w:r>
      <w:r>
        <w:rPr>
          <w:sz w:val="22"/>
          <w:szCs w:val="22"/>
        </w:rPr>
        <w:t>Solicitar ao Conselho de Arquitetura e Urbanismo do Brasil – CAU/BR – que, em decisão plenária, indique outro CAU/UF para fazer a instrução e julgamento do processo, em primeira instância;</w:t>
      </w:r>
    </w:p>
    <w:p w14:paraId="127FC8AC" w14:textId="77777777" w:rsidR="00C079CA" w:rsidRPr="00A162E8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A162E8">
        <w:rPr>
          <w:sz w:val="22"/>
          <w:szCs w:val="22"/>
        </w:rPr>
        <w:t xml:space="preserve"> </w:t>
      </w:r>
    </w:p>
    <w:p w14:paraId="4B422003" w14:textId="77777777" w:rsidR="00C079CA" w:rsidRPr="00B67A90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B67A90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B67A90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B67A90">
        <w:rPr>
          <w:sz w:val="22"/>
          <w:szCs w:val="22"/>
        </w:rPr>
        <w:t xml:space="preserve"> </w:t>
      </w:r>
    </w:p>
    <w:p w14:paraId="58CC35B2" w14:textId="4A43BCD3" w:rsidR="00584C4D" w:rsidRPr="00B67A90" w:rsidRDefault="000435C8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B67A90">
        <w:rPr>
          <w:b/>
          <w:sz w:val="22"/>
          <w:szCs w:val="22"/>
          <w:lang w:eastAsia="pt-BR"/>
        </w:rPr>
        <w:t xml:space="preserve">Com </w:t>
      </w:r>
      <w:r>
        <w:rPr>
          <w:b/>
          <w:sz w:val="22"/>
          <w:szCs w:val="22"/>
          <w:lang w:eastAsia="pt-BR"/>
        </w:rPr>
        <w:t>08</w:t>
      </w:r>
      <w:r w:rsidRPr="00B67A90">
        <w:rPr>
          <w:b/>
          <w:sz w:val="22"/>
          <w:szCs w:val="22"/>
          <w:lang w:eastAsia="pt-BR"/>
        </w:rPr>
        <w:t xml:space="preserve"> votos favoráveis</w:t>
      </w:r>
      <w:r w:rsidRPr="00B67A90">
        <w:rPr>
          <w:sz w:val="22"/>
          <w:szCs w:val="22"/>
          <w:lang w:eastAsia="pt-BR"/>
        </w:rPr>
        <w:t xml:space="preserve"> dos conselheiros:</w:t>
      </w:r>
      <w:r w:rsidRPr="00B67A90">
        <w:rPr>
          <w:sz w:val="22"/>
          <w:szCs w:val="22"/>
        </w:rPr>
        <w:t xml:space="preserve"> </w:t>
      </w:r>
      <w:r w:rsidRPr="00B67A90">
        <w:rPr>
          <w:sz w:val="22"/>
          <w:szCs w:val="22"/>
          <w:lang w:eastAsia="pt-BR"/>
        </w:rPr>
        <w:t xml:space="preserve">Pedro de Almeida Grilo, Giselle Moll Mascarenhas, Ricardo Reis Meira, João Eduardo Martins Dantas, Luís Fernando Zeferino, </w:t>
      </w:r>
      <w:r>
        <w:rPr>
          <w:sz w:val="22"/>
          <w:szCs w:val="22"/>
          <w:lang w:eastAsia="pt-BR"/>
        </w:rPr>
        <w:t>Janaína Domingos Vieira</w:t>
      </w:r>
      <w:r w:rsidRPr="00B67A90">
        <w:rPr>
          <w:sz w:val="22"/>
          <w:szCs w:val="22"/>
          <w:lang w:eastAsia="pt-BR"/>
        </w:rPr>
        <w:t xml:space="preserve">, </w:t>
      </w:r>
      <w:r>
        <w:rPr>
          <w:sz w:val="22"/>
          <w:szCs w:val="22"/>
          <w:lang w:eastAsia="pt-BR"/>
        </w:rPr>
        <w:t>Mariana Roberti Bomtempo (em titularidade) e</w:t>
      </w:r>
      <w:r w:rsidRPr="00B67A90">
        <w:rPr>
          <w:sz w:val="22"/>
          <w:szCs w:val="22"/>
          <w:lang w:eastAsia="pt-BR"/>
        </w:rPr>
        <w:t xml:space="preserve"> Jéssica Costa Spehar; </w:t>
      </w:r>
      <w:r w:rsidRPr="00B67A90">
        <w:rPr>
          <w:bCs/>
          <w:sz w:val="22"/>
          <w:szCs w:val="22"/>
          <w:lang w:eastAsia="pt-BR"/>
        </w:rPr>
        <w:t xml:space="preserve">00 Voto Contrário, 00 Abstenção e </w:t>
      </w:r>
      <w:r w:rsidRPr="00B67A90">
        <w:rPr>
          <w:b/>
          <w:bCs/>
          <w:sz w:val="22"/>
          <w:szCs w:val="22"/>
          <w:lang w:eastAsia="pt-BR"/>
        </w:rPr>
        <w:t>0</w:t>
      </w:r>
      <w:r>
        <w:rPr>
          <w:b/>
          <w:bCs/>
          <w:sz w:val="22"/>
          <w:szCs w:val="22"/>
          <w:lang w:eastAsia="pt-BR"/>
        </w:rPr>
        <w:t>4</w:t>
      </w:r>
      <w:r w:rsidRPr="00B67A90">
        <w:rPr>
          <w:b/>
          <w:bCs/>
          <w:sz w:val="22"/>
          <w:szCs w:val="22"/>
          <w:lang w:eastAsia="pt-BR"/>
        </w:rPr>
        <w:t xml:space="preserve"> Ausências</w:t>
      </w:r>
      <w:r w:rsidRPr="00B67A90">
        <w:rPr>
          <w:bCs/>
          <w:sz w:val="22"/>
          <w:szCs w:val="22"/>
          <w:lang w:eastAsia="pt-BR"/>
        </w:rPr>
        <w:t>, dos conselheiros Júlia Teixeira Fernandes</w:t>
      </w:r>
      <w:r>
        <w:rPr>
          <w:bCs/>
          <w:sz w:val="22"/>
          <w:szCs w:val="22"/>
          <w:lang w:eastAsia="pt-BR"/>
        </w:rPr>
        <w:t>,</w:t>
      </w:r>
      <w:r w:rsidRPr="00B67A90">
        <w:rPr>
          <w:bCs/>
          <w:sz w:val="22"/>
          <w:szCs w:val="22"/>
          <w:lang w:eastAsia="pt-BR"/>
        </w:rPr>
        <w:t xml:space="preserve"> Carlos Henrique Magalhães de Lima</w:t>
      </w:r>
      <w:r>
        <w:rPr>
          <w:bCs/>
          <w:sz w:val="22"/>
          <w:szCs w:val="22"/>
          <w:lang w:eastAsia="pt-BR"/>
        </w:rPr>
        <w:t xml:space="preserve">, </w:t>
      </w:r>
      <w:r w:rsidRPr="00B67A90">
        <w:rPr>
          <w:sz w:val="22"/>
          <w:szCs w:val="22"/>
          <w:lang w:eastAsia="pt-BR"/>
        </w:rPr>
        <w:t>Pedro Roberto da Silva Neto</w:t>
      </w:r>
      <w:r>
        <w:rPr>
          <w:sz w:val="22"/>
          <w:szCs w:val="22"/>
          <w:lang w:eastAsia="pt-BR"/>
        </w:rPr>
        <w:t xml:space="preserve"> e</w:t>
      </w:r>
      <w:r w:rsidRPr="003C6899">
        <w:rPr>
          <w:sz w:val="22"/>
          <w:szCs w:val="22"/>
          <w:lang w:eastAsia="pt-BR"/>
        </w:rPr>
        <w:t xml:space="preserve"> </w:t>
      </w:r>
      <w:r w:rsidRPr="00B67A90">
        <w:rPr>
          <w:sz w:val="22"/>
          <w:szCs w:val="22"/>
          <w:lang w:eastAsia="pt-BR"/>
        </w:rPr>
        <w:t>Gabriela Cascelli Farinasso</w:t>
      </w:r>
      <w:r>
        <w:rPr>
          <w:sz w:val="22"/>
          <w:szCs w:val="22"/>
          <w:lang w:eastAsia="pt-BR"/>
        </w:rPr>
        <w:t>.</w:t>
      </w:r>
    </w:p>
    <w:p w14:paraId="2D34D1FF" w14:textId="08EF16BB" w:rsidR="00584C4D" w:rsidRDefault="00584C4D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5747C50C" w14:textId="77777777" w:rsidR="00F8374E" w:rsidRPr="00B67A90" w:rsidRDefault="00F8374E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376489F7" w:rsidR="00C079CA" w:rsidRPr="00B67A90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B67A90">
        <w:rPr>
          <w:rFonts w:eastAsia="Verdana"/>
          <w:sz w:val="22"/>
          <w:szCs w:val="22"/>
        </w:rPr>
        <w:t xml:space="preserve">Brasília/DF, </w:t>
      </w:r>
      <w:r w:rsidR="000435C8">
        <w:rPr>
          <w:rFonts w:eastAsia="Verdana"/>
          <w:sz w:val="22"/>
          <w:szCs w:val="22"/>
        </w:rPr>
        <w:t>2</w:t>
      </w:r>
      <w:r w:rsidR="00F8374E">
        <w:rPr>
          <w:rFonts w:eastAsia="Verdana"/>
          <w:sz w:val="22"/>
          <w:szCs w:val="22"/>
        </w:rPr>
        <w:t>0</w:t>
      </w:r>
      <w:r w:rsidRPr="00B67A90">
        <w:rPr>
          <w:rFonts w:eastAsia="Verdana"/>
          <w:sz w:val="22"/>
          <w:szCs w:val="22"/>
        </w:rPr>
        <w:t xml:space="preserve"> de </w:t>
      </w:r>
      <w:r w:rsidR="000435C8">
        <w:rPr>
          <w:rFonts w:eastAsia="Verdana"/>
          <w:sz w:val="22"/>
          <w:szCs w:val="22"/>
        </w:rPr>
        <w:t>dezembro</w:t>
      </w:r>
      <w:r w:rsidRPr="00B67A90">
        <w:rPr>
          <w:rFonts w:eastAsia="Verdana"/>
          <w:sz w:val="22"/>
          <w:szCs w:val="22"/>
        </w:rPr>
        <w:t xml:space="preserve"> de 2021.</w:t>
      </w:r>
    </w:p>
    <w:p w14:paraId="2E60598B" w14:textId="4ECB028C" w:rsidR="00C079CA" w:rsidRPr="00B67A90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B67A90">
        <w:rPr>
          <w:rFonts w:eastAsia="Verdana"/>
          <w:sz w:val="22"/>
          <w:szCs w:val="22"/>
        </w:rPr>
        <w:t xml:space="preserve"> </w:t>
      </w:r>
    </w:p>
    <w:p w14:paraId="4157F52D" w14:textId="558C17E5" w:rsidR="00C079CA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B67A90">
        <w:rPr>
          <w:rFonts w:eastAsia="Verdana"/>
          <w:sz w:val="22"/>
          <w:szCs w:val="22"/>
        </w:rPr>
        <w:t xml:space="preserve"> </w:t>
      </w:r>
    </w:p>
    <w:p w14:paraId="4437C3E0" w14:textId="775F3147" w:rsidR="00F8374E" w:rsidRDefault="00F8374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B67A90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B67A90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B67A90">
        <w:rPr>
          <w:b/>
          <w:sz w:val="22"/>
          <w:szCs w:val="22"/>
        </w:rPr>
        <w:t xml:space="preserve">Mônica Andréa Blanco </w:t>
      </w:r>
      <w:r w:rsidRPr="00B67A90">
        <w:rPr>
          <w:sz w:val="22"/>
          <w:szCs w:val="22"/>
        </w:rPr>
        <w:t xml:space="preserve"> </w:t>
      </w:r>
    </w:p>
    <w:p w14:paraId="380B45F5" w14:textId="39716978" w:rsidR="00C079CA" w:rsidRPr="00B67A90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B67A90">
        <w:rPr>
          <w:sz w:val="22"/>
          <w:szCs w:val="22"/>
        </w:rPr>
        <w:t xml:space="preserve">Presidente do CAU/DF </w:t>
      </w:r>
    </w:p>
    <w:sectPr w:rsidR="00C079CA" w:rsidRPr="00B67A90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A4DD67" w14:textId="77777777" w:rsidR="001342C8" w:rsidRDefault="001342C8">
      <w:r>
        <w:separator/>
      </w:r>
    </w:p>
  </w:endnote>
  <w:endnote w:type="continuationSeparator" w:id="0">
    <w:p w14:paraId="1567495E" w14:textId="77777777" w:rsidR="001342C8" w:rsidRDefault="001342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2C171" w14:textId="77777777" w:rsidR="00372A03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B67A90" w:rsidRDefault="00372A03" w:rsidP="00372A03">
    <w:pPr>
      <w:ind w:left="-1701" w:right="-851"/>
      <w:jc w:val="center"/>
      <w:rPr>
        <w:sz w:val="18"/>
        <w:szCs w:val="18"/>
      </w:rPr>
    </w:pPr>
    <w:r w:rsidRPr="00B67A90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B67A90">
      <w:rPr>
        <w:rFonts w:ascii="DaxCondensed-Regular" w:hAnsi="DaxCondensed-Regular"/>
        <w:sz w:val="18"/>
        <w:szCs w:val="18"/>
      </w:rPr>
      <w:fldChar w:fldCharType="begin"/>
    </w:r>
    <w:r w:rsidRPr="00B67A90">
      <w:rPr>
        <w:rFonts w:ascii="DaxCondensed-Regular" w:hAnsi="DaxCondensed-Regular"/>
        <w:sz w:val="18"/>
        <w:szCs w:val="18"/>
      </w:rPr>
      <w:instrText>PAGE</w:instrText>
    </w:r>
    <w:r w:rsidRPr="00B67A90">
      <w:rPr>
        <w:rFonts w:ascii="DaxCondensed-Regular" w:hAnsi="DaxCondensed-Regular"/>
        <w:sz w:val="18"/>
        <w:szCs w:val="18"/>
      </w:rPr>
      <w:fldChar w:fldCharType="separate"/>
    </w:r>
    <w:r w:rsidRPr="00B67A90">
      <w:rPr>
        <w:rFonts w:ascii="DaxCondensed-Regular" w:hAnsi="DaxCondensed-Regular"/>
        <w:sz w:val="18"/>
        <w:szCs w:val="18"/>
      </w:rPr>
      <w:t>1</w:t>
    </w:r>
    <w:r w:rsidRPr="00B67A90">
      <w:rPr>
        <w:rFonts w:ascii="DaxCondensed-Regular" w:hAnsi="DaxCondensed-Regular"/>
        <w:sz w:val="18"/>
        <w:szCs w:val="18"/>
      </w:rPr>
      <w:fldChar w:fldCharType="end"/>
    </w:r>
    <w:r w:rsidRPr="00B67A90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B67A90">
      <w:rPr>
        <w:rFonts w:ascii="DaxCondensed-Regular" w:hAnsi="DaxCondensed-Regular"/>
        <w:sz w:val="18"/>
        <w:szCs w:val="18"/>
      </w:rPr>
      <w:fldChar w:fldCharType="begin"/>
    </w:r>
    <w:r w:rsidRPr="00B67A90">
      <w:rPr>
        <w:rFonts w:ascii="DaxCondensed-Regular" w:hAnsi="DaxCondensed-Regular"/>
        <w:sz w:val="18"/>
        <w:szCs w:val="18"/>
      </w:rPr>
      <w:instrText>NUMPAGES</w:instrText>
    </w:r>
    <w:r w:rsidRPr="00B67A90">
      <w:rPr>
        <w:rFonts w:ascii="DaxCondensed-Regular" w:hAnsi="DaxCondensed-Regular"/>
        <w:sz w:val="18"/>
        <w:szCs w:val="18"/>
      </w:rPr>
      <w:fldChar w:fldCharType="separate"/>
    </w:r>
    <w:r w:rsidRPr="00B67A90">
      <w:rPr>
        <w:rFonts w:ascii="DaxCondensed-Regular" w:hAnsi="DaxCondensed-Regular"/>
        <w:sz w:val="18"/>
        <w:szCs w:val="18"/>
      </w:rPr>
      <w:t>2</w:t>
    </w:r>
    <w:r w:rsidRPr="00B67A90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B67A90" w:rsidRDefault="00372A03" w:rsidP="00372A03">
    <w:pPr>
      <w:ind w:left="-1701" w:right="-7" w:firstLine="1701"/>
      <w:jc w:val="center"/>
      <w:rPr>
        <w:sz w:val="18"/>
        <w:szCs w:val="18"/>
      </w:rPr>
    </w:pPr>
    <w:r w:rsidRPr="00B67A90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B67A90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67A90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67A90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07B870" w14:textId="77777777" w:rsidR="001342C8" w:rsidRDefault="001342C8">
      <w:r>
        <w:separator/>
      </w:r>
    </w:p>
  </w:footnote>
  <w:footnote w:type="continuationSeparator" w:id="0">
    <w:p w14:paraId="65063122" w14:textId="77777777" w:rsidR="001342C8" w:rsidRDefault="001342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52506AB0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5pt;height:43pt">
          <v:imagedata r:id="rId1" o:title=""/>
        </v:shape>
        <o:OLEObject Type="Embed" ProgID="CorelDraw.Graphic.16" ShapeID="_x0000_i1025" DrawAspect="Content" ObjectID="_1710663497" r:id="rId2"/>
      </w:object>
    </w:r>
  </w:p>
  <w:p w14:paraId="7219BAA6" w14:textId="601A74E7" w:rsidR="00C56A8C" w:rsidRDefault="00C56A8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tbl>
    <w:tblPr>
      <w:tblStyle w:val="a"/>
      <w:tblW w:w="9009" w:type="dxa"/>
      <w:tblInd w:w="0" w:type="dxa"/>
      <w:tblLook w:val="0400" w:firstRow="0" w:lastRow="0" w:firstColumn="0" w:lastColumn="0" w:noHBand="0" w:noVBand="1"/>
    </w:tblPr>
    <w:tblGrid>
      <w:gridCol w:w="1843"/>
      <w:gridCol w:w="7166"/>
    </w:tblGrid>
    <w:tr w:rsidR="00112CAD" w:rsidRPr="00316A8F" w14:paraId="52AB1495" w14:textId="77777777" w:rsidTr="00112CAD">
      <w:trPr>
        <w:trHeight w:val="141"/>
      </w:trPr>
      <w:tc>
        <w:tcPr>
          <w:tcW w:w="1843" w:type="dxa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shd w:val="clear" w:color="auto" w:fill="F2F2F2"/>
          <w:vAlign w:val="center"/>
        </w:tcPr>
        <w:p w14:paraId="12F08B52" w14:textId="307C79C4" w:rsidR="00112CAD" w:rsidRPr="00B67A90" w:rsidRDefault="00112CAD" w:rsidP="00112CAD">
          <w:pPr>
            <w:pStyle w:val="Ttulo2"/>
            <w:rPr>
              <w:b w:val="0"/>
              <w:sz w:val="22"/>
              <w:szCs w:val="22"/>
            </w:rPr>
          </w:pPr>
          <w:r w:rsidRPr="00B67A90">
            <w:rPr>
              <w:b w:val="0"/>
              <w:sz w:val="22"/>
              <w:szCs w:val="22"/>
            </w:rPr>
            <w:t>PROCESSO</w:t>
          </w:r>
        </w:p>
      </w:tc>
      <w:tc>
        <w:tcPr>
          <w:tcW w:w="716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8C49F41" w14:textId="39688182" w:rsidR="00112CAD" w:rsidRPr="00B67A90" w:rsidRDefault="00112CAD" w:rsidP="00112CA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  <w:tab w:val="left" w:pos="2780"/>
            </w:tabs>
            <w:rPr>
              <w:color w:val="000000"/>
              <w:sz w:val="22"/>
              <w:szCs w:val="22"/>
            </w:rPr>
          </w:pPr>
          <w:r>
            <w:rPr>
              <w:sz w:val="22"/>
              <w:szCs w:val="22"/>
            </w:rPr>
            <w:t>PROTOCOLO SICCAU N.</w:t>
          </w:r>
          <w:r w:rsidRPr="008E7CC7">
            <w:rPr>
              <w:sz w:val="22"/>
              <w:szCs w:val="22"/>
            </w:rPr>
            <w:t>º 1</w:t>
          </w:r>
          <w:r>
            <w:rPr>
              <w:sz w:val="22"/>
              <w:szCs w:val="22"/>
            </w:rPr>
            <w:t>124397</w:t>
          </w:r>
          <w:r w:rsidRPr="008E7CC7">
            <w:rPr>
              <w:sz w:val="22"/>
              <w:szCs w:val="22"/>
            </w:rPr>
            <w:t>/2020</w:t>
          </w:r>
        </w:p>
      </w:tc>
    </w:tr>
    <w:tr w:rsidR="00112CAD" w:rsidRPr="00316A8F" w14:paraId="62BDBC80" w14:textId="77777777" w:rsidTr="00112CAD">
      <w:trPr>
        <w:trHeight w:val="262"/>
      </w:trPr>
      <w:tc>
        <w:tcPr>
          <w:tcW w:w="1843" w:type="dxa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shd w:val="clear" w:color="auto" w:fill="F2F2F2"/>
          <w:vAlign w:val="center"/>
        </w:tcPr>
        <w:p w14:paraId="08417784" w14:textId="2A6EDA43" w:rsidR="00112CAD" w:rsidRPr="00B67A90" w:rsidRDefault="00112CAD" w:rsidP="00112CA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rPr>
              <w:b/>
              <w:color w:val="000000"/>
              <w:sz w:val="22"/>
              <w:szCs w:val="22"/>
            </w:rPr>
          </w:pPr>
          <w:r w:rsidRPr="00B67A90">
            <w:rPr>
              <w:color w:val="000000"/>
              <w:sz w:val="22"/>
              <w:szCs w:val="22"/>
            </w:rPr>
            <w:t>INTERESSADO</w:t>
          </w:r>
        </w:p>
      </w:tc>
      <w:tc>
        <w:tcPr>
          <w:tcW w:w="716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99DA485" w14:textId="3073EA8F" w:rsidR="00112CAD" w:rsidRPr="00A019F8" w:rsidRDefault="008F30B1" w:rsidP="00112CA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rPr>
              <w:sz w:val="22"/>
              <w:szCs w:val="22"/>
            </w:rPr>
          </w:pPr>
          <w:r w:rsidRPr="004F79E5">
            <w:rPr>
              <w:sz w:val="22"/>
              <w:szCs w:val="22"/>
              <w:highlight w:val="black"/>
            </w:rPr>
            <w:t>XXXXXXXXXX</w:t>
          </w:r>
          <w:r w:rsidRPr="004F79E5">
            <w:rPr>
              <w:sz w:val="22"/>
              <w:szCs w:val="22"/>
              <w:highlight w:val="black"/>
            </w:rPr>
            <w:t xml:space="preserve"> </w:t>
          </w:r>
          <w:proofErr w:type="spellStart"/>
          <w:r w:rsidRPr="004F79E5">
            <w:rPr>
              <w:sz w:val="22"/>
              <w:szCs w:val="22"/>
              <w:highlight w:val="black"/>
            </w:rPr>
            <w:t>XXXXXXXXXX</w:t>
          </w:r>
          <w:proofErr w:type="spellEnd"/>
        </w:p>
      </w:tc>
    </w:tr>
    <w:tr w:rsidR="00112CAD" w:rsidRPr="00316A8F" w14:paraId="6DC3EEAC" w14:textId="77777777" w:rsidTr="00112CAD">
      <w:trPr>
        <w:trHeight w:val="102"/>
      </w:trPr>
      <w:tc>
        <w:tcPr>
          <w:tcW w:w="1843" w:type="dxa"/>
          <w:tcBorders>
            <w:top w:val="single" w:sz="4" w:space="0" w:color="000000"/>
            <w:left w:val="nil"/>
            <w:bottom w:val="single" w:sz="4" w:space="0" w:color="000000"/>
            <w:right w:val="single" w:sz="4" w:space="0" w:color="000000"/>
          </w:tcBorders>
          <w:shd w:val="clear" w:color="auto" w:fill="F2F2F2"/>
          <w:vAlign w:val="center"/>
        </w:tcPr>
        <w:p w14:paraId="23F56473" w14:textId="42F7B08B" w:rsidR="00112CAD" w:rsidRPr="00B67A90" w:rsidRDefault="00112CAD" w:rsidP="00112CA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rPr>
              <w:color w:val="000000"/>
              <w:sz w:val="22"/>
              <w:szCs w:val="22"/>
            </w:rPr>
          </w:pPr>
          <w:r w:rsidRPr="00B67A90">
            <w:rPr>
              <w:color w:val="000000"/>
              <w:sz w:val="22"/>
              <w:szCs w:val="22"/>
            </w:rPr>
            <w:t>ASSUNTO</w:t>
          </w:r>
        </w:p>
      </w:tc>
      <w:tc>
        <w:tcPr>
          <w:tcW w:w="716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E06C1E5" w14:textId="3860CE42" w:rsidR="00112CAD" w:rsidRPr="00A019F8" w:rsidRDefault="00112CAD" w:rsidP="00112CAD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FFFFFF"/>
            <w:spacing w:before="4" w:line="244" w:lineRule="auto"/>
            <w:ind w:left="4"/>
            <w:rPr>
              <w:bCs/>
              <w:sz w:val="22"/>
              <w:szCs w:val="22"/>
            </w:rPr>
          </w:pPr>
          <w:r>
            <w:rPr>
              <w:bCs/>
              <w:sz w:val="22"/>
              <w:szCs w:val="22"/>
            </w:rPr>
            <w:t>ASSÉDIO MORAL E RACISMO</w:t>
          </w:r>
        </w:p>
      </w:tc>
    </w:tr>
  </w:tbl>
  <w:p w14:paraId="7203B2D5" w14:textId="0CF82848" w:rsidR="00C56A8C" w:rsidRDefault="00C56A8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</w:p>
  <w:tbl>
    <w:tblPr>
      <w:tblStyle w:val="a0"/>
      <w:tblW w:w="9079" w:type="dxa"/>
      <w:tblInd w:w="0" w:type="dxa"/>
      <w:tblLook w:val="0400" w:firstRow="0" w:lastRow="0" w:firstColumn="0" w:lastColumn="0" w:noHBand="0" w:noVBand="1"/>
    </w:tblPr>
    <w:tblGrid>
      <w:gridCol w:w="9079"/>
    </w:tblGrid>
    <w:tr w:rsidR="00C56A8C" w:rsidRPr="00316A8F" w14:paraId="76EE1D6C" w14:textId="77777777" w:rsidTr="00E11DE7">
      <w:trPr>
        <w:trHeight w:val="254"/>
      </w:trPr>
      <w:tc>
        <w:tcPr>
          <w:tcW w:w="0" w:type="auto"/>
          <w:tcBorders>
            <w:top w:val="single" w:sz="4" w:space="0" w:color="000000"/>
            <w:left w:val="nil"/>
            <w:bottom w:val="single" w:sz="4" w:space="0" w:color="000000"/>
            <w:right w:val="nil"/>
          </w:tcBorders>
          <w:shd w:val="clear" w:color="auto" w:fill="F2F2F2"/>
        </w:tcPr>
        <w:p w14:paraId="0DAE6890" w14:textId="3E442A83" w:rsidR="00C56A8C" w:rsidRPr="00B67A90" w:rsidRDefault="00C56A8C" w:rsidP="00C56A8C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320"/>
              <w:tab w:val="right" w:pos="8640"/>
            </w:tabs>
            <w:jc w:val="center"/>
            <w:rPr>
              <w:b/>
              <w:color w:val="000000"/>
              <w:sz w:val="22"/>
              <w:szCs w:val="22"/>
            </w:rPr>
          </w:pPr>
          <w:r w:rsidRPr="00B67A90">
            <w:rPr>
              <w:b/>
              <w:color w:val="000000"/>
              <w:sz w:val="22"/>
              <w:szCs w:val="22"/>
            </w:rPr>
            <w:t>DELIBERAÇÃO PLENÁRIA DPODF Nº 04</w:t>
          </w:r>
          <w:r w:rsidR="00E971C7">
            <w:rPr>
              <w:b/>
              <w:color w:val="000000"/>
              <w:sz w:val="22"/>
              <w:szCs w:val="22"/>
            </w:rPr>
            <w:t>5</w:t>
          </w:r>
          <w:r w:rsidR="00112CAD">
            <w:rPr>
              <w:b/>
              <w:color w:val="000000"/>
              <w:sz w:val="22"/>
              <w:szCs w:val="22"/>
            </w:rPr>
            <w:t>1</w:t>
          </w:r>
          <w:r w:rsidRPr="00B67A90">
            <w:rPr>
              <w:b/>
              <w:color w:val="000000"/>
              <w:sz w:val="22"/>
              <w:szCs w:val="22"/>
            </w:rPr>
            <w:t>/20</w:t>
          </w:r>
          <w:r w:rsidRPr="00B67A90">
            <w:rPr>
              <w:b/>
              <w:sz w:val="22"/>
              <w:szCs w:val="22"/>
            </w:rPr>
            <w:t>21</w:t>
          </w:r>
        </w:p>
      </w:tc>
    </w:tr>
  </w:tbl>
  <w:p w14:paraId="272DF7FF" w14:textId="77777777" w:rsidR="00C56A8C" w:rsidRDefault="00C56A8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3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 w16cid:durableId="2131853304">
    <w:abstractNumId w:val="2"/>
  </w:num>
  <w:num w:numId="2" w16cid:durableId="422845899">
    <w:abstractNumId w:val="3"/>
  </w:num>
  <w:num w:numId="3" w16cid:durableId="295645272">
    <w:abstractNumId w:val="0"/>
  </w:num>
  <w:num w:numId="4" w16cid:durableId="8926922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9CA"/>
    <w:rsid w:val="000030F5"/>
    <w:rsid w:val="00011057"/>
    <w:rsid w:val="00023052"/>
    <w:rsid w:val="000435C8"/>
    <w:rsid w:val="00066C19"/>
    <w:rsid w:val="000B095B"/>
    <w:rsid w:val="00112CAD"/>
    <w:rsid w:val="001342C8"/>
    <w:rsid w:val="00152367"/>
    <w:rsid w:val="001B455C"/>
    <w:rsid w:val="001B5C48"/>
    <w:rsid w:val="002327B9"/>
    <w:rsid w:val="002626BB"/>
    <w:rsid w:val="00275CA4"/>
    <w:rsid w:val="002E3707"/>
    <w:rsid w:val="00316A8F"/>
    <w:rsid w:val="00330ED8"/>
    <w:rsid w:val="00372A03"/>
    <w:rsid w:val="0040406A"/>
    <w:rsid w:val="004368C2"/>
    <w:rsid w:val="00436EA0"/>
    <w:rsid w:val="0045233C"/>
    <w:rsid w:val="004A52C5"/>
    <w:rsid w:val="004D35FF"/>
    <w:rsid w:val="00531A41"/>
    <w:rsid w:val="00584C4D"/>
    <w:rsid w:val="006B6F75"/>
    <w:rsid w:val="006E2E7A"/>
    <w:rsid w:val="00737BC1"/>
    <w:rsid w:val="00785751"/>
    <w:rsid w:val="007F38A4"/>
    <w:rsid w:val="00837BBD"/>
    <w:rsid w:val="00857088"/>
    <w:rsid w:val="008A7108"/>
    <w:rsid w:val="008F30B1"/>
    <w:rsid w:val="008F5859"/>
    <w:rsid w:val="00932031"/>
    <w:rsid w:val="009B1CC1"/>
    <w:rsid w:val="00A162E8"/>
    <w:rsid w:val="00A4500E"/>
    <w:rsid w:val="00AD627C"/>
    <w:rsid w:val="00B67A90"/>
    <w:rsid w:val="00C06837"/>
    <w:rsid w:val="00C079CA"/>
    <w:rsid w:val="00C111AE"/>
    <w:rsid w:val="00C45A0E"/>
    <w:rsid w:val="00C56A8C"/>
    <w:rsid w:val="00CA56CE"/>
    <w:rsid w:val="00CD30A6"/>
    <w:rsid w:val="00D36A26"/>
    <w:rsid w:val="00D77237"/>
    <w:rsid w:val="00D934F2"/>
    <w:rsid w:val="00E27416"/>
    <w:rsid w:val="00E36731"/>
    <w:rsid w:val="00E971C7"/>
    <w:rsid w:val="00EC4FA4"/>
    <w:rsid w:val="00F276E9"/>
    <w:rsid w:val="00F36EB3"/>
    <w:rsid w:val="00F8374E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32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846</Words>
  <Characters>4572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2</cp:revision>
  <cp:lastPrinted>2021-01-18T14:52:00Z</cp:lastPrinted>
  <dcterms:created xsi:type="dcterms:W3CDTF">2022-04-05T14:31:00Z</dcterms:created>
  <dcterms:modified xsi:type="dcterms:W3CDTF">2022-04-05T14:31:00Z</dcterms:modified>
</cp:coreProperties>
</file>