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26"/>
        <w:gridCol w:w="6838"/>
      </w:tblGrid>
      <w:tr>
        <w:trPr>
          <w:trHeight w:val="283" w:hRule="atLeast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320" w:leader="none"/>
                <w:tab w:val="right" w:pos="8640" w:leader="none"/>
              </w:tabs>
              <w:jc w:val="left"/>
              <w:rPr>
                <w:rFonts w:ascii="Arial" w:hAnsi="Arial" w:eastAsia="Calibri" w:cs="Arial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INTERESSADO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CAU/DF</w:t>
            </w:r>
          </w:p>
        </w:tc>
      </w:tr>
      <w:tr>
        <w:trPr>
          <w:trHeight w:val="283" w:hRule="atLeast"/>
        </w:trPr>
        <w:tc>
          <w:tcPr>
            <w:tcW w:w="22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320" w:leader="none"/>
                <w:tab w:val="right" w:pos="8640" w:leader="none"/>
              </w:tabs>
              <w:jc w:val="left"/>
              <w:rPr>
                <w:rFonts w:ascii="Arial" w:hAnsi="Arial"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en-US"/>
              </w:rPr>
              <w:t>ASSUNTO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rPr>
                <w:rFonts w:ascii="Arial" w:hAnsi="Arial" w:eastAsia="Times New Roman" w:cs="Arial"/>
                <w:color w:val="222124"/>
                <w:sz w:val="20"/>
                <w:szCs w:val="20"/>
                <w:shd w:fill="FFFFFF" w:val="clear"/>
                <w:lang w:eastAsia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ALTERA O ATENDIMENTO AO PÚBLICO NO FORMATO PRESENCIAL</w:t>
            </w:r>
          </w:p>
        </w:tc>
      </w:tr>
    </w:tbl>
    <w:p>
      <w:pPr>
        <w:pStyle w:val="Normal"/>
        <w:tabs>
          <w:tab w:val="clear" w:pos="708"/>
          <w:tab w:val="center" w:pos="4320" w:leader="none"/>
          <w:tab w:val="right" w:pos="8640" w:leader="none"/>
        </w:tabs>
        <w:rPr>
          <w:rFonts w:ascii="Arial" w:hAnsi="Arial" w:eastAsia="Calibri" w:cs="Arial"/>
          <w:b/>
          <w:b/>
          <w:sz w:val="20"/>
          <w:szCs w:val="20"/>
          <w:lang w:eastAsia="en-US"/>
        </w:rPr>
      </w:pPr>
      <w:r>
        <w:rPr>
          <w:rFonts w:eastAsia="Calibri" w:cs="Arial" w:ascii="Arial" w:hAnsi="Arial"/>
          <w:b/>
          <w:sz w:val="20"/>
          <w:szCs w:val="20"/>
          <w:lang w:eastAsia="en-US"/>
        </w:rPr>
      </w:r>
    </w:p>
    <w:tbl>
      <w:tblPr>
        <w:tblW w:w="9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5"/>
      </w:tblGrid>
      <w:tr>
        <w:trPr>
          <w:trHeight w:val="283" w:hRule="atLeast"/>
        </w:trPr>
        <w:tc>
          <w:tcPr>
            <w:tcW w:w="9065" w:type="dxa"/>
            <w:tcBorders>
              <w:top w:val="single" w:sz="4" w:space="0" w:color="000000"/>
              <w:bottom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320" w:leader="none"/>
                <w:tab w:val="right" w:pos="8640" w:leader="none"/>
              </w:tabs>
              <w:jc w:val="center"/>
              <w:rPr>
                <w:rFonts w:ascii="Arial" w:hAnsi="Arial" w:eastAsia="Calibri" w:cs="Arial"/>
                <w:b/>
                <w:b/>
                <w:sz w:val="20"/>
                <w:szCs w:val="20"/>
                <w:lang w:eastAsia="en-US"/>
              </w:rPr>
            </w:pPr>
            <w:r>
              <w:rPr>
                <w:rFonts w:eastAsia="Calibri" w:cs="Arial" w:ascii="Arial" w:hAnsi="Arial"/>
                <w:b/>
                <w:sz w:val="20"/>
                <w:szCs w:val="20"/>
                <w:lang w:eastAsia="en-US"/>
              </w:rPr>
              <w:t xml:space="preserve">DELIBERAÇÃO PLENÁRIA </w:t>
            </w:r>
            <w:r>
              <w:rPr>
                <w:rFonts w:eastAsia="Calibri" w:cs="Arial" w:ascii="Arial" w:hAnsi="Arial"/>
                <w:b/>
                <w:i/>
                <w:sz w:val="20"/>
                <w:szCs w:val="20"/>
                <w:lang w:eastAsia="en-US"/>
              </w:rPr>
              <w:t>AD REFERENDUM</w:t>
            </w:r>
            <w:r>
              <w:rPr>
                <w:rFonts w:eastAsia="Calibri" w:cs="Arial" w:ascii="Arial" w:hAnsi="Arial"/>
                <w:b/>
                <w:sz w:val="20"/>
                <w:szCs w:val="20"/>
                <w:lang w:eastAsia="en-US"/>
              </w:rPr>
              <w:t xml:space="preserve"> Nº 001/2022</w:t>
            </w:r>
          </w:p>
        </w:tc>
      </w:tr>
    </w:tbl>
    <w:p>
      <w:pPr>
        <w:pStyle w:val="Normal"/>
        <w:tabs>
          <w:tab w:val="clear" w:pos="708"/>
          <w:tab w:val="center" w:pos="4320" w:leader="none"/>
          <w:tab w:val="left" w:pos="4820" w:leader="none"/>
          <w:tab w:val="left" w:pos="4962" w:leader="none"/>
          <w:tab w:val="right" w:pos="8640" w:leader="none"/>
        </w:tabs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Calibri" w:cs="Arial" w:ascii="Arial" w:hAnsi="Arial"/>
          <w:sz w:val="20"/>
          <w:szCs w:val="20"/>
          <w:lang w:eastAsia="en-US"/>
        </w:rPr>
      </w:r>
    </w:p>
    <w:p>
      <w:pPr>
        <w:pStyle w:val="Normal"/>
        <w:tabs>
          <w:tab w:val="clear" w:pos="708"/>
          <w:tab w:val="center" w:pos="4253" w:leader="none"/>
          <w:tab w:val="right" w:pos="8640" w:leader="none"/>
        </w:tabs>
        <w:ind w:left="4253" w:hanging="0"/>
        <w:rPr>
          <w:rFonts w:ascii="Arial" w:hAnsi="Arial" w:eastAsia="Calibri" w:cs="Arial"/>
          <w:sz w:val="20"/>
          <w:szCs w:val="20"/>
          <w:lang w:eastAsia="en-US"/>
        </w:rPr>
      </w:pPr>
      <w:r>
        <w:rPr>
          <w:rFonts w:eastAsia="Verdana" w:cs="Arial" w:ascii="Arial" w:hAnsi="Arial"/>
          <w:bCs/>
          <w:sz w:val="20"/>
          <w:szCs w:val="20"/>
          <w:lang w:eastAsia="en-US"/>
        </w:rPr>
        <w:t xml:space="preserve">Altera, </w:t>
      </w:r>
      <w:r>
        <w:rPr>
          <w:rFonts w:eastAsia="Verdana" w:cs="Arial" w:ascii="Arial" w:hAnsi="Arial"/>
          <w:bCs/>
          <w:i/>
          <w:iCs/>
          <w:sz w:val="20"/>
          <w:szCs w:val="20"/>
          <w:lang w:eastAsia="en-US"/>
        </w:rPr>
        <w:t>ad referendum</w:t>
      </w:r>
      <w:r>
        <w:rPr>
          <w:rFonts w:eastAsia="Verdana" w:cs="Arial" w:ascii="Arial" w:hAnsi="Arial"/>
          <w:bCs/>
          <w:iCs/>
          <w:sz w:val="20"/>
          <w:szCs w:val="20"/>
          <w:lang w:eastAsia="en-US"/>
        </w:rPr>
        <w:t xml:space="preserve"> do Plenário do Conselho de Arquitetura e Urbanismo do Distrito Federal (CAU/DF), o atendimento ao público no formato presencial como medida preventiva para redução dos riscos de contaminação e transmissão virais.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tabs>
          <w:tab w:val="clear" w:pos="708"/>
          <w:tab w:val="left" w:pos="1134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>
      <w:pPr>
        <w:pStyle w:val="Normal"/>
        <w:tabs>
          <w:tab w:val="clear" w:pos="708"/>
          <w:tab w:val="left" w:pos="1134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tabs>
          <w:tab w:val="clear" w:pos="708"/>
          <w:tab w:val="left" w:pos="1134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Considerando recente elevação de taxa de transmissão (Taxa de Transmissão R(t), que representa o número médio de infecções secundárias que um indivíduo que transmite a doença em um determinado tempo) do vírus Covid-19 é de “2,06” conforme Boletim Epidemiológico n.º 658, de 11 de janeiro de 2022, o que significa que cada 100 infectados podem potencialmente transmitir o vírus do COVID-19 para outras 206 pessoas;</w:t>
      </w:r>
    </w:p>
    <w:p>
      <w:pPr>
        <w:pStyle w:val="Normal"/>
        <w:tabs>
          <w:tab w:val="clear" w:pos="708"/>
          <w:tab w:val="left" w:pos="1134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tabs>
          <w:tab w:val="clear" w:pos="708"/>
          <w:tab w:val="left" w:pos="1134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Considerando surto de outras doenças virais e superlotação do sistema de saúde;</w:t>
      </w:r>
    </w:p>
    <w:p>
      <w:pPr>
        <w:pStyle w:val="Normal"/>
        <w:tabs>
          <w:tab w:val="clear" w:pos="708"/>
          <w:tab w:val="left" w:pos="1134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Considerando urgente necessidade de medidas de prevenção, controle e contenção de riscos, danos e agravos à saúde pública decorrentes da pandemia da Covid-19; 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Considerando a necessidade de continuar com todas as ações cautelosas em defesa da saúde de todas as pessoas que transitam pelas dependências físicas dos CAU/DF; e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Considerando que a Central de Atendimento e “</w:t>
      </w:r>
      <w:r>
        <w:rPr>
          <w:rFonts w:cs="Arial" w:ascii="Arial" w:hAnsi="Arial"/>
          <w:i/>
          <w:iCs/>
          <w:sz w:val="20"/>
          <w:szCs w:val="20"/>
        </w:rPr>
        <w:t>Chat</w:t>
      </w:r>
      <w:r>
        <w:rPr>
          <w:rFonts w:cs="Arial" w:ascii="Arial" w:hAnsi="Arial"/>
          <w:sz w:val="20"/>
          <w:szCs w:val="20"/>
        </w:rPr>
        <w:t>” partes constituintes da RIA (Rede Integrada de Atendimento) atende profissionais arquitetos e urbanistas das 9h às 19h, de segunda a sexta, exceto feriados.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DELIBEROU: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1 – Alterar, </w:t>
      </w:r>
      <w:r>
        <w:rPr>
          <w:rFonts w:cs="Arial" w:ascii="Arial" w:hAnsi="Arial"/>
          <w:i/>
          <w:iCs/>
          <w:sz w:val="20"/>
          <w:szCs w:val="20"/>
        </w:rPr>
        <w:t xml:space="preserve">ad referendum </w:t>
      </w:r>
      <w:r>
        <w:rPr>
          <w:rFonts w:cs="Arial" w:ascii="Arial" w:hAnsi="Arial"/>
          <w:sz w:val="20"/>
          <w:szCs w:val="20"/>
        </w:rPr>
        <w:t>do Plenário do CAU/DF, os dias de atendimento ao público no formato presencial a partir do dia</w:t>
      </w:r>
      <w:r>
        <w:rPr>
          <w:rFonts w:cs="Arial" w:ascii="Arial" w:hAnsi="Arial"/>
          <w:b/>
          <w:bCs/>
          <w:sz w:val="20"/>
          <w:szCs w:val="20"/>
        </w:rPr>
        <w:t xml:space="preserve"> 12 de janeiro de 2022</w:t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 – Retomar o atendimento ao público no formato presencial, às terças e quintas-feiras, das 10h às 16h, a partir do dia </w:t>
      </w:r>
      <w:r>
        <w:rPr>
          <w:rFonts w:cs="Arial" w:ascii="Arial" w:hAnsi="Arial"/>
          <w:b/>
          <w:bCs/>
          <w:sz w:val="20"/>
          <w:szCs w:val="20"/>
        </w:rPr>
        <w:t>13 de janeiro de 2022,</w:t>
      </w:r>
      <w:r>
        <w:rPr>
          <w:rFonts w:cs="Arial" w:ascii="Arial" w:hAnsi="Arial"/>
          <w:sz w:val="20"/>
          <w:szCs w:val="20"/>
        </w:rPr>
        <w:t xml:space="preserve"> observados todos os protocolos preventivos para redução dos riscos de contaminação e transmissão do Covid-19.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3 – Manter o atendimento ao público via telefone, inclusive </w:t>
      </w:r>
      <w:r>
        <w:rPr>
          <w:rFonts w:cs="Arial" w:ascii="Arial" w:hAnsi="Arial"/>
          <w:i/>
          <w:iCs/>
          <w:sz w:val="20"/>
          <w:szCs w:val="20"/>
        </w:rPr>
        <w:t>WhatsApp,</w:t>
      </w:r>
      <w:r>
        <w:rPr>
          <w:rFonts w:cs="Arial" w:ascii="Arial" w:hAnsi="Arial"/>
          <w:sz w:val="20"/>
          <w:szCs w:val="20"/>
        </w:rPr>
        <w:t xml:space="preserve"> e e-mail, de segunda à sexta-feira, das 10h às 16h, exceto feriados.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Esta deliberação entra em vigor nesta data. </w:t>
      </w:r>
    </w:p>
    <w:p>
      <w:pPr>
        <w:pStyle w:val="Normal"/>
        <w:tabs>
          <w:tab w:val="clear" w:pos="708"/>
          <w:tab w:val="left" w:pos="1134" w:leader="none"/>
        </w:tabs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tabs>
          <w:tab w:val="clear" w:pos="708"/>
          <w:tab w:val="left" w:pos="1134" w:leader="none"/>
        </w:tabs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Brasília, 12 de janeiro de 2022.</w:t>
      </w:r>
    </w:p>
    <w:p>
      <w:pPr>
        <w:pStyle w:val="Xl49"/>
        <w:tabs>
          <w:tab w:val="clear" w:pos="708"/>
          <w:tab w:val="left" w:pos="1134" w:leader="none"/>
        </w:tabs>
        <w:spacing w:before="0" w:after="0"/>
        <w:rPr>
          <w:rFonts w:eastAsia="Calibri" w:cs="Arial"/>
          <w:sz w:val="20"/>
          <w:lang w:eastAsia="en-US"/>
        </w:rPr>
      </w:pPr>
      <w:r>
        <w:rPr>
          <w:rFonts w:eastAsia="Calibri" w:cs="Arial"/>
          <w:sz w:val="20"/>
          <w:lang w:eastAsia="en-US"/>
        </w:rPr>
      </w:r>
    </w:p>
    <w:p>
      <w:pPr>
        <w:pStyle w:val="Xl49"/>
        <w:tabs>
          <w:tab w:val="clear" w:pos="708"/>
          <w:tab w:val="left" w:pos="1134" w:leader="none"/>
        </w:tabs>
        <w:spacing w:before="0" w:after="0"/>
        <w:rPr>
          <w:rFonts w:eastAsia="Calibri" w:cs="Arial"/>
          <w:sz w:val="20"/>
          <w:lang w:eastAsia="en-US"/>
        </w:rPr>
      </w:pPr>
      <w:r>
        <w:rPr>
          <w:rFonts w:eastAsia="Calibri" w:cs="Arial"/>
          <w:sz w:val="20"/>
          <w:lang w:eastAsia="en-US"/>
        </w:rPr>
      </w:r>
    </w:p>
    <w:p>
      <w:pPr>
        <w:pStyle w:val="Xl49"/>
        <w:tabs>
          <w:tab w:val="clear" w:pos="708"/>
          <w:tab w:val="left" w:pos="1134" w:leader="none"/>
        </w:tabs>
        <w:spacing w:before="0" w:after="0"/>
        <w:rPr>
          <w:rFonts w:eastAsia="Calibri" w:cs="Arial"/>
          <w:sz w:val="20"/>
          <w:lang w:eastAsia="en-US"/>
        </w:rPr>
      </w:pPr>
      <w:r>
        <w:rPr>
          <w:rFonts w:eastAsia="Calibri" w:cs="Arial"/>
          <w:sz w:val="20"/>
          <w:lang w:eastAsia="en-US"/>
        </w:rPr>
      </w:r>
    </w:p>
    <w:p>
      <w:pPr>
        <w:pStyle w:val="Xl49"/>
        <w:tabs>
          <w:tab w:val="clear" w:pos="708"/>
          <w:tab w:val="left" w:pos="1134" w:leader="none"/>
        </w:tabs>
        <w:spacing w:before="0" w:after="0"/>
        <w:rPr>
          <w:rFonts w:eastAsia="Calibri" w:cs="Arial"/>
          <w:sz w:val="20"/>
          <w:lang w:eastAsia="en-US"/>
        </w:rPr>
      </w:pPr>
      <w:r>
        <w:rPr>
          <w:rFonts w:eastAsia="Calibri" w:cs="Arial"/>
          <w:sz w:val="20"/>
          <w:lang w:eastAsia="en-US"/>
        </w:rPr>
      </w:r>
    </w:p>
    <w:p>
      <w:pPr>
        <w:pStyle w:val="Xl49"/>
        <w:tabs>
          <w:tab w:val="clear" w:pos="708"/>
          <w:tab w:val="left" w:pos="1134" w:leader="none"/>
        </w:tabs>
        <w:spacing w:before="0" w:after="0"/>
        <w:rPr>
          <w:rFonts w:eastAsia="Calibri" w:cs="Arial"/>
          <w:sz w:val="20"/>
          <w:lang w:eastAsia="en-US"/>
        </w:rPr>
      </w:pPr>
      <w:r>
        <w:rPr>
          <w:rFonts w:eastAsia="Calibri" w:cs="Arial"/>
          <w:sz w:val="20"/>
          <w:lang w:eastAsia="en-US"/>
        </w:rPr>
      </w:r>
    </w:p>
    <w:p>
      <w:pPr>
        <w:pStyle w:val="Normal"/>
        <w:widowControl w:val="false"/>
        <w:tabs>
          <w:tab w:val="clear" w:pos="708"/>
          <w:tab w:val="left" w:pos="-20" w:leader="none"/>
          <w:tab w:val="left" w:pos="-10" w:leader="none"/>
          <w:tab w:val="left" w:pos="1418" w:leader="none"/>
        </w:tabs>
        <w:suppressAutoHyphens w:val="true"/>
        <w:jc w:val="center"/>
        <w:rPr>
          <w:rFonts w:ascii="Arial" w:hAnsi="Arial" w:cs="Arial"/>
          <w:b/>
          <w:b/>
          <w:color w:val="000000"/>
          <w:sz w:val="20"/>
          <w:szCs w:val="20"/>
          <w:lang w:eastAsia="zh-CN"/>
        </w:rPr>
      </w:pPr>
      <w:r>
        <w:rPr>
          <w:rFonts w:cs="Arial" w:ascii="Arial" w:hAnsi="Arial"/>
          <w:b/>
          <w:sz w:val="20"/>
          <w:szCs w:val="20"/>
        </w:rPr>
        <w:t>MÔNICA ANDREA BLANCO</w:t>
      </w:r>
    </w:p>
    <w:p>
      <w:pPr>
        <w:pStyle w:val="Normal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  <w:lang w:eastAsia="zh-CN"/>
        </w:rPr>
        <w:t>P</w:t>
      </w:r>
      <w:r>
        <w:rPr>
          <w:rFonts w:cs="Arial" w:ascii="Arial" w:hAnsi="Arial"/>
          <w:bCs/>
          <w:color w:val="000000"/>
          <w:sz w:val="20"/>
          <w:szCs w:val="20"/>
          <w:lang w:eastAsia="zh-CN"/>
        </w:rPr>
        <w:t>residente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761" w:bottom="15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>
        <w:rFonts w:ascii="DaxCondensed-Regular" w:hAnsi="DaxCondensed-Regular" w:eastAsia="Calibri"/>
        <w:color w:val="1C3942"/>
        <w:sz w:val="16"/>
        <w:szCs w:val="16"/>
        <w:lang w:eastAsia="en-US"/>
      </w:rPr>
    </w:pPr>
    <w:r>
      <mc:AlternateContent>
        <mc:Choice Requires="wps">
          <w:drawing>
            <wp:anchor behindDoc="1" distT="0" distB="0" distL="0" distR="0" simplePos="0" locked="0" layoutInCell="0" allowOverlap="1" relativeHeight="3" wp14:anchorId="1A06F056">
              <wp:simplePos x="0" y="0"/>
              <wp:positionH relativeFrom="margin">
                <wp:posOffset>-12700</wp:posOffset>
              </wp:positionH>
              <wp:positionV relativeFrom="paragraph">
                <wp:posOffset>-68580</wp:posOffset>
              </wp:positionV>
              <wp:extent cx="5734685" cy="1016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pt,-5.4pt" to="450.45pt,-4.7pt" ID="Conector reto 3" stroked="t" style="position:absolute;flip:y;mso-position-horizontal-relative:margin" wp14:anchorId="1A06F056">
              <v:stroke color="#1c3942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t xml:space="preserve">Página </w:t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fldChar w:fldCharType="begin"/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instrText> PAGE </w:instrText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fldChar w:fldCharType="separate"/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t>1</w:t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fldChar w:fldCharType="end"/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t xml:space="preserve"> de </w:t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fldChar w:fldCharType="begin"/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instrText> NUMPAGES </w:instrText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fldChar w:fldCharType="separate"/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t>1</w:t>
    </w:r>
    <w:r>
      <w:rPr>
        <w:sz w:val="16"/>
        <w:szCs w:val="16"/>
        <w:rFonts w:eastAsia="Calibri" w:ascii="DaxCondensed-Regular" w:hAnsi="DaxCondensed-Regular"/>
        <w:color w:val="1C3942"/>
        <w:lang w:eastAsia="en-US"/>
      </w:rPr>
      <w:fldChar w:fldCharType="end"/>
    </w:r>
  </w:p>
  <w:p>
    <w:pPr>
      <w:pStyle w:val="Normal"/>
      <w:ind w:left="-1701" w:right="-7" w:firstLine="1701"/>
      <w:jc w:val="center"/>
      <w:rPr>
        <w:rFonts w:ascii="DaxCondensed-Regular" w:hAnsi="DaxCondensed-Regular" w:eastAsia="Calibri"/>
        <w:color w:val="1C3942"/>
        <w:sz w:val="18"/>
        <w:szCs w:val="18"/>
        <w:lang w:eastAsia="en-US"/>
      </w:rPr>
    </w:pPr>
    <w:r>
      <w:rPr>
        <w:rFonts w:eastAsia="Calibri" w:ascii="DaxCondensed-Regular" w:hAnsi="DaxCondensed-Regular"/>
        <w:color w:val="1C3942"/>
        <w:sz w:val="18"/>
        <w:szCs w:val="18"/>
        <w:lang w:eastAsia="en-US"/>
      </w:rPr>
      <w:t>SEPN 510 - bloco A - CEP 70.750-521 - Brasília (DF) - (61) 3222-5176/3222-5179</w:t>
    </w:r>
  </w:p>
  <w:p>
    <w:pPr>
      <w:pStyle w:val="Normal"/>
      <w:ind w:left="-1701" w:right="-7" w:firstLine="1701"/>
      <w:jc w:val="center"/>
      <w:rPr>
        <w:rFonts w:ascii="DaxCondensed-Regular" w:hAnsi="DaxCondensed-Regular" w:eastAsia="Calibri"/>
        <w:color w:val="1C3942"/>
        <w:sz w:val="18"/>
        <w:szCs w:val="18"/>
        <w:lang w:eastAsia="en-US"/>
      </w:rPr>
    </w:pPr>
    <w:r>
      <w:rPr>
        <w:rFonts w:eastAsia="Calibri" w:ascii="DaxCondensed-Regular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7" w:hanging="0"/>
      <w:jc w:val="center"/>
      <w:rPr>
        <w:rFonts w:ascii="Arial" w:hAnsi="Arial"/>
        <w:color w:val="296D7A"/>
        <w:sz w:val="22"/>
      </w:rPr>
    </w:pPr>
    <w:r>
      <w:rPr/>
      <w:object>
        <v:shape id="ole_rId1" style="width:450.75pt;height:43.5pt" o:ole="">
          <v:imagedata r:id="rId2" o:title=""/>
        </v:shape>
        <o:OLEObject Type="Embed" ProgID="CorelDraw.Graphic.16" ShapeID="ole_rId1" DrawAspect="Content" ObjectID="_278573061" r:id="rId1"/>
      </w:objec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470f"/>
    <w:pPr>
      <w:widowControl/>
      <w:bidi w:val="0"/>
      <w:spacing w:before="0" w:after="0"/>
      <w:jc w:val="both"/>
    </w:pPr>
    <w:rPr>
      <w:rFonts w:eastAsia="MS Mincho" w:ascii="Calibri" w:hAnsi="Calibri" w:cs="Times New Roman"/>
      <w:color w:val="auto"/>
      <w:kern w:val="0"/>
      <w:sz w:val="24"/>
      <w:szCs w:val="24"/>
      <w:lang w:val="pt-BR"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0513a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Autospacing="1" w:afterAutospacing="1"/>
      <w:jc w:val="left"/>
      <w:outlineLvl w:val="2"/>
    </w:pPr>
    <w:rPr>
      <w:rFonts w:ascii="Times New Roman" w:hAnsi="Times New Roman" w:eastAsia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link w:val="Cabealho"/>
    <w:uiPriority w:val="99"/>
    <w:qFormat/>
    <w:rsid w:val="009f470f"/>
    <w:rPr>
      <w:rFonts w:ascii="Calibri" w:hAnsi="Calibri" w:eastAsia="MS Mincho" w:cs="Times New Roman"/>
      <w:sz w:val="24"/>
      <w:szCs w:val="24"/>
      <w:lang w:eastAsia="pt-BR"/>
    </w:rPr>
  </w:style>
  <w:style w:type="character" w:styleId="RodapChar" w:customStyle="1">
    <w:name w:val="Rodapé Char"/>
    <w:link w:val="Rodap"/>
    <w:uiPriority w:val="99"/>
    <w:qFormat/>
    <w:rsid w:val="009f470f"/>
    <w:rPr>
      <w:rFonts w:ascii="Calibri" w:hAnsi="Calibri" w:eastAsia="MS Mincho" w:cs="Times New Roman"/>
      <w:sz w:val="24"/>
      <w:szCs w:val="24"/>
      <w:lang w:eastAsia="pt-BR"/>
    </w:rPr>
  </w:style>
  <w:style w:type="character" w:styleId="TextodebaloChar" w:customStyle="1">
    <w:name w:val="Texto de balão Char"/>
    <w:link w:val="Textodebalo"/>
    <w:uiPriority w:val="99"/>
    <w:semiHidden/>
    <w:qFormat/>
    <w:rsid w:val="004141d2"/>
    <w:rPr>
      <w:rFonts w:ascii="Tahoma" w:hAnsi="Tahoma" w:eastAsia="MS Mincho" w:cs="Tahoma"/>
      <w:sz w:val="16"/>
      <w:szCs w:val="16"/>
      <w:lang w:eastAsia="pt-BR"/>
    </w:rPr>
  </w:style>
  <w:style w:type="character" w:styleId="Annotationreference">
    <w:name w:val="annotation reference"/>
    <w:uiPriority w:val="99"/>
    <w:semiHidden/>
    <w:unhideWhenUsed/>
    <w:qFormat/>
    <w:rsid w:val="004141d2"/>
    <w:rPr>
      <w:sz w:val="16"/>
      <w:szCs w:val="16"/>
    </w:rPr>
  </w:style>
  <w:style w:type="character" w:styleId="TextodecomentrioChar" w:customStyle="1">
    <w:name w:val="Texto de comentário Char"/>
    <w:link w:val="Textodecomentrio"/>
    <w:uiPriority w:val="99"/>
    <w:semiHidden/>
    <w:qFormat/>
    <w:rsid w:val="004141d2"/>
    <w:rPr>
      <w:rFonts w:ascii="Calibri" w:hAnsi="Calibri" w:eastAsia="MS Mincho" w:cs="Times New Roman"/>
      <w:sz w:val="20"/>
      <w:szCs w:val="20"/>
      <w:lang w:eastAsia="pt-BR"/>
    </w:rPr>
  </w:style>
  <w:style w:type="character" w:styleId="AssuntodocomentrioChar" w:customStyle="1">
    <w:name w:val="Assunto do comentário Char"/>
    <w:link w:val="Assuntodocomentrio"/>
    <w:uiPriority w:val="99"/>
    <w:semiHidden/>
    <w:qFormat/>
    <w:rsid w:val="004141d2"/>
    <w:rPr>
      <w:rFonts w:ascii="Calibri" w:hAnsi="Calibri" w:eastAsia="MS Mincho" w:cs="Times New Roman"/>
      <w:b/>
      <w:bCs/>
      <w:sz w:val="20"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"/>
    <w:qFormat/>
    <w:rsid w:val="00f15adf"/>
    <w:rPr>
      <w:rFonts w:ascii="Times New Roman" w:hAnsi="Times New Roman" w:eastAsia="Times New Roman"/>
      <w:b/>
      <w:bCs/>
      <w:sz w:val="27"/>
      <w:szCs w:val="27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132b34"/>
    <w:rPr>
      <w:rFonts w:ascii="Times New Roman" w:hAnsi="Times New Roman" w:eastAsia="Times New Roman"/>
      <w:sz w:val="24"/>
    </w:rPr>
  </w:style>
  <w:style w:type="character" w:styleId="Parag2Char" w:customStyle="1">
    <w:name w:val="parag2 Char"/>
    <w:link w:val="parag2"/>
    <w:qFormat/>
    <w:rsid w:val="009661e2"/>
    <w:rPr>
      <w:rFonts w:ascii="Times New Roman" w:hAnsi="Times New Roman" w:eastAsia="Times New Roman"/>
      <w:sz w:val="24"/>
      <w:szCs w:val="24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00513a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9f470f"/>
    <w:pPr>
      <w:tabs>
        <w:tab w:val="clear" w:pos="708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lear" w:pos="708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141d2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4141d2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4141d2"/>
    <w:pPr/>
    <w:rPr>
      <w:b/>
      <w:bCs/>
    </w:rPr>
  </w:style>
  <w:style w:type="paragraph" w:styleId="ListParagraph">
    <w:name w:val="List Paragraph"/>
    <w:basedOn w:val="Normal"/>
    <w:uiPriority w:val="34"/>
    <w:qFormat/>
    <w:rsid w:val="00380a35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220269"/>
    <w:pPr>
      <w:spacing w:beforeAutospacing="1" w:afterAutospacing="1"/>
      <w:jc w:val="left"/>
    </w:pPr>
    <w:rPr>
      <w:rFonts w:ascii="Times New Roman" w:hAnsi="Times New Roman" w:eastAsia="Times New Roman"/>
    </w:rPr>
  </w:style>
  <w:style w:type="paragraph" w:styleId="Corpodotextorecuado">
    <w:name w:val="Body Text Indent"/>
    <w:basedOn w:val="Normal"/>
    <w:link w:val="RecuodecorpodetextoChar"/>
    <w:rsid w:val="00132b34"/>
    <w:pPr>
      <w:ind w:left="720" w:hanging="0"/>
    </w:pPr>
    <w:rPr>
      <w:rFonts w:ascii="Times New Roman" w:hAnsi="Times New Roman" w:eastAsia="Times New Roman"/>
      <w:szCs w:val="20"/>
    </w:rPr>
  </w:style>
  <w:style w:type="paragraph" w:styleId="Xl49" w:customStyle="1">
    <w:name w:val="xl49"/>
    <w:basedOn w:val="Normal"/>
    <w:qFormat/>
    <w:rsid w:val="00132b34"/>
    <w:pPr>
      <w:spacing w:before="100" w:after="100"/>
      <w:jc w:val="center"/>
    </w:pPr>
    <w:rPr>
      <w:rFonts w:ascii="Arial" w:hAnsi="Arial" w:eastAsia="Times New Roman"/>
      <w:b/>
      <w:szCs w:val="20"/>
    </w:rPr>
  </w:style>
  <w:style w:type="paragraph" w:styleId="Parag2" w:customStyle="1">
    <w:name w:val="parag2"/>
    <w:basedOn w:val="Normal"/>
    <w:link w:val="parag2Char"/>
    <w:qFormat/>
    <w:rsid w:val="009661e2"/>
    <w:pPr>
      <w:spacing w:beforeAutospacing="1" w:afterAutospacing="1"/>
      <w:jc w:val="left"/>
    </w:pPr>
    <w:rPr>
      <w:rFonts w:ascii="Times New Roman" w:hAnsi="Times New Roman" w:eastAsia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46315-8413-418F-88DD-F76D7891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LibreOffice/7.0.4.2$Windows_X86_64 LibreOffice_project/dcf040e67528d9187c66b2379df5ea4407429775</Application>
  <AppVersion>15.0000</AppVersion>
  <Pages>1</Pages>
  <Words>397</Words>
  <Characters>2131</Characters>
  <CharactersWithSpaces>2510</CharactersWithSpaces>
  <Paragraphs>24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2022-01-11T23:30:00Z</dcterms:created>
  <dc:creator>Windows</dc:creator>
  <dc:description/>
  <dc:language>pt-BR</dc:language>
  <cp:lastModifiedBy/>
  <cp:lastPrinted>2021-02-02T10:49:00Z</cp:lastPrinted>
  <dcterms:modified xsi:type="dcterms:W3CDTF">2022-01-13T13:53:22Z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