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8" w:type="dxa"/>
        <w:tblInd w:w="-108" w:type="dxa"/>
        <w:tblLook w:val="04A0" w:firstRow="1" w:lastRow="0" w:firstColumn="1" w:lastColumn="0" w:noHBand="0" w:noVBand="1"/>
      </w:tblPr>
      <w:tblGrid>
        <w:gridCol w:w="2234"/>
        <w:gridCol w:w="6814"/>
      </w:tblGrid>
      <w:tr w:rsidR="00536FEB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36FEB" w:rsidRDefault="00AD4C44">
            <w:pPr>
              <w:pStyle w:val="Cabealho"/>
              <w:ind w:right="113"/>
              <w:rPr>
                <w:b/>
              </w:rPr>
            </w:pPr>
            <w:r>
              <w:t>PROCESSO Nº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6FEB" w:rsidRDefault="00AD4C44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929421/2019 (1045459/2019 e 486199/2017)</w:t>
            </w:r>
          </w:p>
        </w:tc>
      </w:tr>
      <w:tr w:rsidR="00536FEB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36FEB" w:rsidRDefault="00AD4C44">
            <w:pPr>
              <w:pStyle w:val="Cabealho"/>
              <w:ind w:right="113"/>
              <w:rPr>
                <w:b/>
              </w:rPr>
            </w:pPr>
            <w:r>
              <w:t>INTERESSADO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6FEB" w:rsidRDefault="00AD4C44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Carolina Monteiro Rebello</w:t>
            </w:r>
          </w:p>
        </w:tc>
      </w:tr>
      <w:tr w:rsidR="00536FEB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36FEB" w:rsidRDefault="00AD4C44">
            <w:pPr>
              <w:pStyle w:val="Cabealho"/>
              <w:ind w:right="113"/>
            </w:pPr>
            <w: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6FEB" w:rsidRDefault="00AD4C44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highlight w:val="white"/>
              </w:rPr>
            </w:pPr>
            <w:r>
              <w:rPr>
                <w:rFonts w:ascii="Times New Roman" w:hAnsi="Times New Roman" w:cs="Times New Roman"/>
              </w:rPr>
              <w:t>SOLICITAÇÃO DE ISENÇÃO DE COBRANÇA DAS ANUIDADES REFERENTES AOS ANOS DE 2017 A 2020.</w:t>
            </w:r>
          </w:p>
        </w:tc>
      </w:tr>
    </w:tbl>
    <w:p w:rsidR="00536FEB" w:rsidRDefault="00536FEB">
      <w:pPr>
        <w:pStyle w:val="Cabealho"/>
        <w:ind w:right="113"/>
        <w:jc w:val="center"/>
        <w:rPr>
          <w:b/>
        </w:rPr>
      </w:pPr>
    </w:p>
    <w:tbl>
      <w:tblPr>
        <w:tblW w:w="9039" w:type="dxa"/>
        <w:tblInd w:w="-108" w:type="dxa"/>
        <w:tblLook w:val="04A0" w:firstRow="1" w:lastRow="0" w:firstColumn="1" w:lastColumn="0" w:noHBand="0" w:noVBand="1"/>
      </w:tblPr>
      <w:tblGrid>
        <w:gridCol w:w="9039"/>
      </w:tblGrid>
      <w:tr w:rsidR="00536FEB"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536FEB" w:rsidRDefault="00AD4C44">
            <w:pPr>
              <w:pStyle w:val="Cabealho"/>
              <w:ind w:right="113"/>
              <w:jc w:val="center"/>
            </w:pPr>
            <w:r>
              <w:rPr>
                <w:b/>
              </w:rPr>
              <w:t>DELIBERAÇÃO Nº 010/2020 – CAF-CAU/DF</w:t>
            </w:r>
          </w:p>
        </w:tc>
      </w:tr>
    </w:tbl>
    <w:p w:rsidR="00536FEB" w:rsidRDefault="00AD4C44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>
        <w:tab/>
      </w:r>
      <w:r>
        <w:tab/>
      </w:r>
    </w:p>
    <w:p w:rsidR="00536FEB" w:rsidRDefault="00AD4C44">
      <w:pPr>
        <w:ind w:right="113"/>
      </w:pPr>
      <w:r>
        <w:rPr>
          <w:rFonts w:eastAsia="Verdana"/>
        </w:rPr>
        <w:t xml:space="preserve">A COMISSÃO DE </w:t>
      </w:r>
      <w:r>
        <w:rPr>
          <w:rFonts w:eastAsia="Verdana"/>
        </w:rPr>
        <w:t>ADMINISTRAÇÃO, PLANEJAMENTO E FINANÇAS do Conselho de Arquitetura e Urbanismo do Distrito Federal – CAF-CAU/DF reunida ordinariamente na sede do CAU/DF, no dia 1</w:t>
      </w:r>
      <w:r>
        <w:rPr>
          <w:rFonts w:eastAsia="Verdana"/>
        </w:rPr>
        <w:t>5</w:t>
      </w:r>
      <w:r>
        <w:rPr>
          <w:rFonts w:eastAsia="Verdana"/>
        </w:rPr>
        <w:t xml:space="preserve"> de </w:t>
      </w:r>
      <w:r>
        <w:rPr>
          <w:rFonts w:eastAsia="Verdana"/>
        </w:rPr>
        <w:t xml:space="preserve">abril </w:t>
      </w:r>
      <w:r>
        <w:rPr>
          <w:rFonts w:eastAsia="Verdana"/>
        </w:rPr>
        <w:t xml:space="preserve">de 2020, após análise do assunto em epígrafe, </w:t>
      </w:r>
      <w:proofErr w:type="gramStart"/>
      <w:r>
        <w:rPr>
          <w:rFonts w:eastAsia="Verdana"/>
        </w:rPr>
        <w:t>e</w:t>
      </w:r>
      <w:proofErr w:type="gramEnd"/>
    </w:p>
    <w:p w:rsidR="00536FEB" w:rsidRDefault="00536FEB">
      <w:pPr>
        <w:ind w:right="113"/>
        <w:rPr>
          <w:rFonts w:eastAsia="Verdana"/>
        </w:rPr>
      </w:pPr>
    </w:p>
    <w:p w:rsidR="00536FEB" w:rsidRDefault="00AD4C44">
      <w:pPr>
        <w:ind w:right="113"/>
        <w:rPr>
          <w:color w:val="000000"/>
        </w:rPr>
      </w:pPr>
      <w:r>
        <w:rPr>
          <w:rFonts w:eastAsia="Verdana"/>
        </w:rPr>
        <w:t>Considerando Regimento Interno do C</w:t>
      </w:r>
      <w:r>
        <w:rPr>
          <w:rFonts w:eastAsia="Verdana"/>
        </w:rPr>
        <w:t>AU/DF, artigo 88, inciso XX, que dispõe como competência da Comissão de Finanças, Atos Administrativos e Gestão: “</w:t>
      </w:r>
      <w:r>
        <w:rPr>
          <w:i/>
          <w:color w:val="000000"/>
        </w:rPr>
        <w:t>propor, apreciar e deliberar sobre processos de cobrança de anuidades, taxas e multas</w:t>
      </w:r>
      <w:r>
        <w:rPr>
          <w:color w:val="000000"/>
        </w:rPr>
        <w:t>.”;</w:t>
      </w:r>
    </w:p>
    <w:p w:rsidR="00536FEB" w:rsidRDefault="00536FEB">
      <w:pPr>
        <w:widowControl w:val="0"/>
      </w:pPr>
    </w:p>
    <w:p w:rsidR="00536FEB" w:rsidRDefault="00AD4C44">
      <w:pPr>
        <w:widowControl w:val="0"/>
      </w:pPr>
      <w:r>
        <w:t xml:space="preserve">Considerando </w:t>
      </w:r>
      <w:r>
        <w:tab/>
        <w:t>que a arquiteta e urbanista Carolina M</w:t>
      </w:r>
      <w:r>
        <w:t>onteiro Rebello contestou a cobrança de anuidades de 2017 a 2020, alegando que em 22 de fevereiro de 2017 registrou protocolo de interrupção de registro nº 486199/2017 junto ao SICCAU. (fls. 04 a 08);</w:t>
      </w:r>
    </w:p>
    <w:p w:rsidR="00536FEB" w:rsidRDefault="00536FEB"/>
    <w:p w:rsidR="00536FEB" w:rsidRDefault="00AD4C44">
      <w:r>
        <w:t>Considerando que houve o pedido de interrupção do regi</w:t>
      </w:r>
      <w:r>
        <w:t xml:space="preserve">stro da profissional em 2017, cujo pleito foi diligenciado para que fosse cumprida a legislação vigente, e que não houve resposta, nem o cumprimento das diligências, culminando no arquivamento do pedido de interrupção; </w:t>
      </w:r>
    </w:p>
    <w:p w:rsidR="00536FEB" w:rsidRDefault="00536FEB">
      <w:pPr>
        <w:rPr>
          <w:b/>
        </w:rPr>
      </w:pPr>
    </w:p>
    <w:p w:rsidR="00536FEB" w:rsidRDefault="00AD4C44">
      <w:r>
        <w:t>Considerando que a arquiteta e urba</w:t>
      </w:r>
      <w:r>
        <w:t xml:space="preserve">nista Carolina Monteiro Rebello alegou não ter recebido os e-mails com as diligências requeridas para a finalização do pedido de interrupção do registro; </w:t>
      </w:r>
      <w:proofErr w:type="gramStart"/>
      <w:r>
        <w:t>e</w:t>
      </w:r>
      <w:proofErr w:type="gramEnd"/>
    </w:p>
    <w:p w:rsidR="00536FEB" w:rsidRDefault="00536FEB"/>
    <w:p w:rsidR="00536FEB" w:rsidRDefault="00AD4C44">
      <w:r>
        <w:t xml:space="preserve">Considerando o voto da conselheira relatora, Gabriela de Souza </w:t>
      </w:r>
      <w:proofErr w:type="spellStart"/>
      <w:r>
        <w:t>Tenorio</w:t>
      </w:r>
      <w:proofErr w:type="spellEnd"/>
      <w:r>
        <w:t>, pelo: “</w:t>
      </w:r>
      <w:r>
        <w:rPr>
          <w:i/>
          <w:iCs/>
        </w:rPr>
        <w:t>indeferimento do ped</w:t>
      </w:r>
      <w:r>
        <w:rPr>
          <w:i/>
          <w:iCs/>
        </w:rPr>
        <w:t>ido de Carolina Monteiro Rebello, devendo a arquiteta e urbanista quitar suas dívidas referentes às anuidades de 2017 a 2020</w:t>
      </w:r>
      <w:r>
        <w:t xml:space="preserve">”. </w:t>
      </w:r>
    </w:p>
    <w:p w:rsidR="00536FEB" w:rsidRDefault="00536FEB"/>
    <w:p w:rsidR="00536FEB" w:rsidRDefault="00536FEB">
      <w:pPr>
        <w:widowControl w:val="0"/>
      </w:pPr>
    </w:p>
    <w:p w:rsidR="00536FEB" w:rsidRDefault="00AD4C44">
      <w:pPr>
        <w:ind w:right="113"/>
        <w:rPr>
          <w:rFonts w:eastAsia="Verdana"/>
          <w:b/>
        </w:rPr>
      </w:pPr>
      <w:r>
        <w:rPr>
          <w:rFonts w:eastAsia="Verdana"/>
          <w:b/>
        </w:rPr>
        <w:t>DELIBERA:</w:t>
      </w:r>
    </w:p>
    <w:p w:rsidR="00536FEB" w:rsidRDefault="00536FEB">
      <w:pPr>
        <w:ind w:right="113"/>
        <w:rPr>
          <w:rFonts w:eastAsia="Verdana"/>
        </w:rPr>
      </w:pPr>
    </w:p>
    <w:p w:rsidR="00536FEB" w:rsidRDefault="00AD4C44">
      <w:pPr>
        <w:ind w:right="113"/>
      </w:pPr>
      <w:r>
        <w:rPr>
          <w:rFonts w:eastAsia="Verdana"/>
        </w:rPr>
        <w:t xml:space="preserve">1 - Por indeferir a solicitação e dar </w:t>
      </w:r>
      <w:r>
        <w:t xml:space="preserve">prosseguimento ao processo de cobrança, devendo informar a requerente sobre o desfecho de sua solicitação e alertando-a sobre a possibilidade de negociar a dívida por meio </w:t>
      </w:r>
      <w:proofErr w:type="gramStart"/>
      <w:r>
        <w:t>do REFIS</w:t>
      </w:r>
      <w:proofErr w:type="gramEnd"/>
      <w:r>
        <w:t xml:space="preserve">. </w:t>
      </w:r>
    </w:p>
    <w:p w:rsidR="00536FEB" w:rsidRDefault="00536FEB">
      <w:pPr>
        <w:ind w:right="113"/>
        <w:rPr>
          <w:b/>
        </w:rPr>
      </w:pPr>
    </w:p>
    <w:p w:rsidR="00536FEB" w:rsidRDefault="00AD4C44">
      <w:pPr>
        <w:ind w:right="113"/>
      </w:pPr>
      <w:r>
        <w:t>Com</w:t>
      </w:r>
      <w:r>
        <w:rPr>
          <w:b/>
        </w:rPr>
        <w:t xml:space="preserve"> </w:t>
      </w:r>
      <w:proofErr w:type="gramStart"/>
      <w:r>
        <w:rPr>
          <w:b/>
        </w:rPr>
        <w:t>4</w:t>
      </w:r>
      <w:proofErr w:type="gramEnd"/>
      <w:r>
        <w:t xml:space="preserve"> votos favoráveis, 0 voto contrário e 0 abstenção.</w:t>
      </w:r>
    </w:p>
    <w:p w:rsidR="00536FEB" w:rsidRDefault="00536FEB">
      <w:pPr>
        <w:widowControl w:val="0"/>
        <w:ind w:right="227"/>
      </w:pPr>
    </w:p>
    <w:p w:rsidR="00536FEB" w:rsidRDefault="00536FEB">
      <w:pPr>
        <w:widowControl w:val="0"/>
        <w:ind w:right="227"/>
      </w:pPr>
    </w:p>
    <w:p w:rsidR="00536FEB" w:rsidRDefault="00AD4C44">
      <w:pPr>
        <w:ind w:right="113"/>
        <w:jc w:val="center"/>
      </w:pPr>
      <w:r>
        <w:rPr>
          <w:rFonts w:eastAsia="Verdana"/>
        </w:rPr>
        <w:t>Brasília/DF, 1</w:t>
      </w:r>
      <w:r>
        <w:rPr>
          <w:rFonts w:eastAsia="Verdana"/>
        </w:rPr>
        <w:t>5</w:t>
      </w:r>
      <w:r>
        <w:rPr>
          <w:rFonts w:eastAsia="Verdana"/>
        </w:rPr>
        <w:t xml:space="preserve"> de </w:t>
      </w:r>
      <w:r>
        <w:rPr>
          <w:rFonts w:eastAsia="Verdana"/>
        </w:rPr>
        <w:t>abril</w:t>
      </w:r>
      <w:r>
        <w:rPr>
          <w:rFonts w:eastAsia="Verdana"/>
        </w:rPr>
        <w:t xml:space="preserve"> de 2020.</w:t>
      </w:r>
    </w:p>
    <w:p w:rsidR="00536FEB" w:rsidRDefault="00536FEB">
      <w:pPr>
        <w:ind w:right="113"/>
        <w:jc w:val="center"/>
        <w:rPr>
          <w:rFonts w:eastAsia="Verdana"/>
        </w:rPr>
      </w:pPr>
    </w:p>
    <w:p w:rsidR="00C60BB6" w:rsidRDefault="00C60BB6" w:rsidP="00C60BB6">
      <w:pPr>
        <w:ind w:right="113"/>
        <w:jc w:val="center"/>
        <w:rPr>
          <w:rFonts w:eastAsia="Verdana"/>
        </w:rPr>
      </w:pPr>
      <w:bookmarkStart w:id="0" w:name="_GoBack"/>
      <w:bookmarkEnd w:id="0"/>
    </w:p>
    <w:tbl>
      <w:tblPr>
        <w:tblpPr w:leftFromText="141" w:rightFromText="141" w:bottomFromText="200" w:vertAnchor="text" w:horzAnchor="margin" w:tblpY="87"/>
        <w:tblW w:w="9025" w:type="dxa"/>
        <w:tblInd w:w="108" w:type="dxa"/>
        <w:tblLook w:val="04A0" w:firstRow="1" w:lastRow="0" w:firstColumn="1" w:lastColumn="0" w:noHBand="0" w:noVBand="1"/>
      </w:tblPr>
      <w:tblGrid>
        <w:gridCol w:w="4675"/>
        <w:gridCol w:w="4350"/>
      </w:tblGrid>
      <w:tr w:rsidR="00C60BB6" w:rsidTr="00AF4D17">
        <w:trPr>
          <w:trHeight w:val="265"/>
        </w:trPr>
        <w:tc>
          <w:tcPr>
            <w:tcW w:w="4674" w:type="dxa"/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left="-142" w:right="417"/>
            </w:pPr>
          </w:p>
        </w:tc>
      </w:tr>
      <w:tr w:rsidR="00C60BB6" w:rsidTr="00AF4D17">
        <w:trPr>
          <w:trHeight w:val="49"/>
        </w:trPr>
        <w:tc>
          <w:tcPr>
            <w:tcW w:w="4674" w:type="dxa"/>
            <w:shd w:val="clear" w:color="auto" w:fill="auto"/>
          </w:tcPr>
          <w:p w:rsidR="00C60BB6" w:rsidRDefault="00C60BB6" w:rsidP="00AF4D17">
            <w:pPr>
              <w:spacing w:line="360" w:lineRule="auto"/>
              <w:ind w:right="417"/>
            </w:pPr>
            <w:r>
              <w:t>Coordenador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C60BB6" w:rsidTr="00AF4D17">
        <w:trPr>
          <w:trHeight w:val="265"/>
        </w:trPr>
        <w:tc>
          <w:tcPr>
            <w:tcW w:w="4674" w:type="dxa"/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right="417"/>
            </w:pPr>
            <w:r>
              <w:rPr>
                <w:b/>
              </w:rPr>
              <w:t xml:space="preserve">Gabriela de Souza </w:t>
            </w:r>
            <w:proofErr w:type="spellStart"/>
            <w:r>
              <w:rPr>
                <w:b/>
              </w:rPr>
              <w:t>Tenorio</w:t>
            </w:r>
            <w:proofErr w:type="spellEnd"/>
          </w:p>
        </w:tc>
        <w:tc>
          <w:tcPr>
            <w:tcW w:w="4350" w:type="dxa"/>
            <w:tcBorders>
              <w:bottom w:val="single" w:sz="4" w:space="0" w:color="000000"/>
            </w:tcBorders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left="-142" w:right="417"/>
            </w:pPr>
          </w:p>
        </w:tc>
      </w:tr>
      <w:tr w:rsidR="00C60BB6" w:rsidTr="00AF4D17">
        <w:trPr>
          <w:trHeight w:val="49"/>
        </w:trPr>
        <w:tc>
          <w:tcPr>
            <w:tcW w:w="4674" w:type="dxa"/>
            <w:shd w:val="clear" w:color="auto" w:fill="auto"/>
          </w:tcPr>
          <w:p w:rsidR="00C60BB6" w:rsidRDefault="00C60BB6" w:rsidP="00AF4D17">
            <w:pPr>
              <w:spacing w:line="360" w:lineRule="auto"/>
              <w:ind w:right="417"/>
            </w:pPr>
            <w:r>
              <w:t>Coordenadora-adjunta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C60BB6" w:rsidTr="00AF4D17">
        <w:trPr>
          <w:trHeight w:val="265"/>
        </w:trPr>
        <w:tc>
          <w:tcPr>
            <w:tcW w:w="4674" w:type="dxa"/>
            <w:shd w:val="clear" w:color="auto" w:fill="auto"/>
          </w:tcPr>
          <w:p w:rsidR="00C60BB6" w:rsidRDefault="00C60BB6" w:rsidP="00AF4D17">
            <w:pPr>
              <w:spacing w:line="276" w:lineRule="auto"/>
              <w:ind w:right="417"/>
            </w:pPr>
            <w:r>
              <w:rPr>
                <w:b/>
                <w:bCs/>
              </w:rPr>
              <w:lastRenderedPageBreak/>
              <w:t>Letícia Miguel Teixeira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left="-142" w:right="417"/>
            </w:pPr>
          </w:p>
        </w:tc>
      </w:tr>
      <w:tr w:rsidR="00C60BB6" w:rsidTr="00AF4D17">
        <w:trPr>
          <w:trHeight w:val="49"/>
        </w:trPr>
        <w:tc>
          <w:tcPr>
            <w:tcW w:w="4674" w:type="dxa"/>
            <w:shd w:val="clear" w:color="auto" w:fill="auto"/>
          </w:tcPr>
          <w:p w:rsidR="00C60BB6" w:rsidRDefault="00C60BB6" w:rsidP="00AF4D17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 xml:space="preserve">Membro em titularidade 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C60BB6" w:rsidTr="00AF4D17">
        <w:trPr>
          <w:trHeight w:val="265"/>
        </w:trPr>
        <w:tc>
          <w:tcPr>
            <w:tcW w:w="4674" w:type="dxa"/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  <w:color w:val="000000"/>
              </w:rPr>
              <w:t>Paulo Cavalcanti de Albuquerque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left="-142" w:right="417"/>
            </w:pPr>
          </w:p>
        </w:tc>
      </w:tr>
      <w:tr w:rsidR="00C60BB6" w:rsidTr="00AF4D17">
        <w:trPr>
          <w:trHeight w:val="49"/>
        </w:trPr>
        <w:tc>
          <w:tcPr>
            <w:tcW w:w="4674" w:type="dxa"/>
            <w:shd w:val="clear" w:color="auto" w:fill="auto"/>
          </w:tcPr>
          <w:p w:rsidR="00C60BB6" w:rsidRDefault="00C60BB6" w:rsidP="00AF4D17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 em titularidade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val="clear" w:color="auto" w:fill="auto"/>
          </w:tcPr>
          <w:p w:rsidR="00C60BB6" w:rsidRDefault="00C60BB6" w:rsidP="00AF4D17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536FEB" w:rsidRDefault="00536FEB">
      <w:pPr>
        <w:ind w:right="113"/>
        <w:jc w:val="center"/>
      </w:pPr>
    </w:p>
    <w:sectPr w:rsidR="00536FEB">
      <w:headerReference w:type="default" r:id="rId9"/>
      <w:footerReference w:type="default" r:id="rId10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D4C44">
      <w:r>
        <w:separator/>
      </w:r>
    </w:p>
  </w:endnote>
  <w:endnote w:type="continuationSeparator" w:id="0">
    <w:p w:rsidR="00000000" w:rsidRDefault="00AD4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EB" w:rsidRDefault="00AD4C44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3" behindDoc="1" locked="0" layoutInCell="1" allowOverlap="1" wp14:anchorId="5CA6C0C8" wp14:editId="043E968C">
              <wp:simplePos x="0" y="0"/>
              <wp:positionH relativeFrom="margin">
                <wp:posOffset>-12065</wp:posOffset>
              </wp:positionH>
              <wp:positionV relativeFrom="paragraph">
                <wp:posOffset>-63500</wp:posOffset>
              </wp:positionV>
              <wp:extent cx="5734685" cy="1016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408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pt,-5.4pt" to="450.45pt,-4.7pt" ID="Conector reto 3" stroked="t" style="position:absolute;flip:y;mso-position-horizontal-relative:margin" wp14:anchorId="54DFC7D5">
              <v:stroke color="#1c3942" weight="19080" joinstyle="round" endcap="flat"/>
              <v:fill o:detectmouseclick="t" on="fals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:rsidR="00536FEB" w:rsidRDefault="00AD4C4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>
      <w:rPr>
        <w:rFonts w:ascii="DaxCondensed-Regular" w:hAnsi="DaxCondensed-Regular"/>
        <w:color w:val="1C3942"/>
        <w:sz w:val="18"/>
        <w:szCs w:val="18"/>
      </w:rPr>
      <w:t>)</w:t>
    </w:r>
    <w:proofErr w:type="gramEnd"/>
    <w:r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36FEB" w:rsidRDefault="00AD4C4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D4C44">
      <w:r>
        <w:separator/>
      </w:r>
    </w:p>
  </w:footnote>
  <w:footnote w:type="continuationSeparator" w:id="0">
    <w:p w:rsidR="00000000" w:rsidRDefault="00AD4C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EB" w:rsidRDefault="00AD4C4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3pt;height:42.5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5856998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E6F5C"/>
    <w:multiLevelType w:val="hybridMultilevel"/>
    <w:tmpl w:val="C164C69A"/>
    <w:lvl w:ilvl="0" w:tplc="AB66F91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04EF744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8E024F24">
      <w:numFmt w:val="bullet"/>
      <w:lvlText w:val=""/>
      <w:lvlJc w:val="left"/>
      <w:pPr>
        <w:ind w:left="2160" w:hanging="1800"/>
      </w:pPr>
    </w:lvl>
    <w:lvl w:ilvl="3" w:tplc="99782A66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13DC563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EF461906">
      <w:numFmt w:val="bullet"/>
      <w:lvlText w:val=""/>
      <w:lvlJc w:val="left"/>
      <w:pPr>
        <w:ind w:left="4320" w:hanging="3960"/>
      </w:pPr>
    </w:lvl>
    <w:lvl w:ilvl="6" w:tplc="3E4A1A82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4782D75E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D8D2A5B4">
      <w:numFmt w:val="bullet"/>
      <w:lvlText w:val=""/>
      <w:lvlJc w:val="left"/>
      <w:pPr>
        <w:ind w:left="6480" w:hanging="6120"/>
      </w:pPr>
    </w:lvl>
  </w:abstractNum>
  <w:abstractNum w:abstractNumId="1">
    <w:nsid w:val="2B4C3D5B"/>
    <w:multiLevelType w:val="hybridMultilevel"/>
    <w:tmpl w:val="3B187C28"/>
    <w:lvl w:ilvl="0" w:tplc="9FBEB5C2">
      <w:start w:val="1"/>
      <w:numFmt w:val="decimal"/>
      <w:lvlText w:val="%1."/>
      <w:lvlJc w:val="left"/>
      <w:pPr>
        <w:ind w:left="720" w:hanging="360"/>
      </w:pPr>
    </w:lvl>
    <w:lvl w:ilvl="1" w:tplc="5C00D734">
      <w:start w:val="1"/>
      <w:numFmt w:val="decimal"/>
      <w:lvlText w:val="%2."/>
      <w:lvlJc w:val="left"/>
      <w:pPr>
        <w:ind w:left="1440" w:hanging="1080"/>
      </w:pPr>
    </w:lvl>
    <w:lvl w:ilvl="2" w:tplc="7592C8AA">
      <w:start w:val="1"/>
      <w:numFmt w:val="decimal"/>
      <w:lvlText w:val="%3."/>
      <w:lvlJc w:val="left"/>
      <w:pPr>
        <w:ind w:left="2160" w:hanging="1980"/>
      </w:pPr>
    </w:lvl>
    <w:lvl w:ilvl="3" w:tplc="A5483B3A">
      <w:start w:val="1"/>
      <w:numFmt w:val="decimal"/>
      <w:lvlText w:val="%4."/>
      <w:lvlJc w:val="left"/>
      <w:pPr>
        <w:ind w:left="2880" w:hanging="2520"/>
      </w:pPr>
    </w:lvl>
    <w:lvl w:ilvl="4" w:tplc="B30413FA">
      <w:start w:val="1"/>
      <w:numFmt w:val="decimal"/>
      <w:lvlText w:val="%5."/>
      <w:lvlJc w:val="left"/>
      <w:pPr>
        <w:ind w:left="3600" w:hanging="3240"/>
      </w:pPr>
    </w:lvl>
    <w:lvl w:ilvl="5" w:tplc="9DB83AD6">
      <w:start w:val="1"/>
      <w:numFmt w:val="decimal"/>
      <w:lvlText w:val="%6."/>
      <w:lvlJc w:val="left"/>
      <w:pPr>
        <w:ind w:left="4320" w:hanging="4140"/>
      </w:pPr>
    </w:lvl>
    <w:lvl w:ilvl="6" w:tplc="6B806A26">
      <w:start w:val="1"/>
      <w:numFmt w:val="decimal"/>
      <w:lvlText w:val="%7."/>
      <w:lvlJc w:val="left"/>
      <w:pPr>
        <w:ind w:left="5040" w:hanging="4680"/>
      </w:pPr>
    </w:lvl>
    <w:lvl w:ilvl="7" w:tplc="BFEC3958">
      <w:start w:val="1"/>
      <w:numFmt w:val="decimal"/>
      <w:lvlText w:val="%8."/>
      <w:lvlJc w:val="left"/>
      <w:pPr>
        <w:ind w:left="5760" w:hanging="5400"/>
      </w:pPr>
    </w:lvl>
    <w:lvl w:ilvl="8" w:tplc="572811D8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6FEB"/>
    <w:rsid w:val="00536FEB"/>
    <w:rsid w:val="00AD4C44"/>
    <w:rsid w:val="00C6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pPr>
      <w:spacing w:before="480"/>
      <w:outlineLvl w:val="0"/>
    </w:pPr>
    <w:rPr>
      <w:b/>
      <w:color w:val="345A8A"/>
      <w:sz w:val="32"/>
    </w:rPr>
  </w:style>
  <w:style w:type="paragraph" w:styleId="Ttulo2">
    <w:name w:val="heading 2"/>
    <w:basedOn w:val="Normal"/>
    <w:link w:val="Ttulo2Char"/>
    <w:pPr>
      <w:spacing w:before="200"/>
      <w:outlineLvl w:val="1"/>
    </w:pPr>
    <w:rPr>
      <w:b/>
      <w:color w:val="4F81BD"/>
      <w:sz w:val="26"/>
    </w:rPr>
  </w:style>
  <w:style w:type="paragraph" w:styleId="Ttulo3">
    <w:name w:val="heading 3"/>
    <w:basedOn w:val="Normal"/>
    <w:link w:val="Ttulo3Char"/>
    <w:pPr>
      <w:spacing w:before="200"/>
      <w:outlineLvl w:val="2"/>
    </w:pPr>
    <w:rPr>
      <w:b/>
      <w:color w:val="4F81BD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="Calibri Light" w:eastAsiaTheme="majorEastAsia" w:hAnsiTheme="majorHAnsi" w:cstheme="majorBidi"/>
      <w:i/>
      <w:iCs/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="Calibri Light" w:eastAsiaTheme="majorEastAsia" w:hAnsiTheme="majorHAnsi" w:cstheme="majorBidi"/>
      <w:i/>
      <w:iCs/>
      <w:color w:val="1F4D78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pPr>
      <w:spacing w:after="300"/>
    </w:pPr>
    <w:rPr>
      <w:color w:val="17365D"/>
      <w:sz w:val="52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rPr>
      <w:i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A2976-CA17-430B-B31D-477750634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342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4ª SESSÃO PLENÁRIA DO CONSELHO DE ARQUITETURA E URBANISMO DO DISTRITO FEDERAL, REALIZADA NO DIA 16 DE FEVEREIRO DE 20</vt:lpstr>
    </vt:vector>
  </TitlesOfParts>
  <Company>CAU/DF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4ª SESSÃO PLENÁRIA DO CONSELHO DE ARQUITETURA E URBANISMO DO DISTRITO FEDERAL, REALIZADA NO DIA 16 DE FEVEREIRO DE 20</dc:title>
  <dc:subject/>
  <dc:creator>Paula Vianna</dc:creator>
  <dc:description/>
  <cp:lastModifiedBy>juliana Santos</cp:lastModifiedBy>
  <cp:revision>62</cp:revision>
  <cp:lastPrinted>2020-08-10T16:00:00Z</cp:lastPrinted>
  <dcterms:created xsi:type="dcterms:W3CDTF">2020-04-13T12:11:00Z</dcterms:created>
  <dcterms:modified xsi:type="dcterms:W3CDTF">2020-08-10T16:07:00Z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