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CC11CC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CC11CC" w:rsidRDefault="00B2109B" w:rsidP="00772831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CC11CC">
              <w:rPr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CC11CC" w:rsidRDefault="00B2109B" w:rsidP="00772831">
            <w:pPr>
              <w:pStyle w:val="Cabealho"/>
              <w:tabs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B2109B" w:rsidRPr="00CC11CC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CC11CC" w:rsidRDefault="00B2109B" w:rsidP="00772831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CC11CC">
              <w:rPr>
                <w:sz w:val="22"/>
                <w:szCs w:val="22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CC11CC" w:rsidRDefault="00B2109B" w:rsidP="00772831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CC11CC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B2109B" w:rsidRPr="00CC11CC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CC11CC" w:rsidRDefault="00B2109B" w:rsidP="00772831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 w:rsidRPr="00CC11CC"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CC11CC" w:rsidRDefault="00752E5A" w:rsidP="00CC11CC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 w:rsidRPr="00CC11CC"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 xml:space="preserve">EXTINÇÃO DAS COMISSÕES TEMPORÁRIAS DO CAU DF: </w:t>
            </w:r>
            <w:r w:rsidR="00CC11CC"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 xml:space="preserve">CTE-CAU/DF, </w:t>
            </w:r>
            <w:r w:rsidRPr="00CC11CC"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>CTRIP-CAU/DF</w:t>
            </w:r>
            <w:r w:rsidR="00CC11CC"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 xml:space="preserve"> E</w:t>
            </w:r>
            <w:r w:rsidRPr="00CC11CC"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 xml:space="preserve"> CTAT-CAU/DF.</w:t>
            </w:r>
          </w:p>
        </w:tc>
      </w:tr>
    </w:tbl>
    <w:p w:rsidR="00B2109B" w:rsidRPr="00CC11CC" w:rsidRDefault="00B2109B" w:rsidP="00B2109B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CC11CC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CC11CC" w:rsidRDefault="00B2109B" w:rsidP="00752E5A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CC11CC">
              <w:rPr>
                <w:b/>
                <w:sz w:val="22"/>
                <w:szCs w:val="22"/>
              </w:rPr>
              <w:t>DELIBERAÇÃO PLENÁRIA DPODF Nº 02</w:t>
            </w:r>
            <w:r w:rsidR="00D0497C" w:rsidRPr="00CC11CC">
              <w:rPr>
                <w:b/>
                <w:sz w:val="22"/>
                <w:szCs w:val="22"/>
              </w:rPr>
              <w:t>8</w:t>
            </w:r>
            <w:r w:rsidR="00752E5A" w:rsidRPr="00CC11CC">
              <w:rPr>
                <w:b/>
                <w:sz w:val="22"/>
                <w:szCs w:val="22"/>
              </w:rPr>
              <w:t>2</w:t>
            </w:r>
            <w:r w:rsidRPr="00CC11CC">
              <w:rPr>
                <w:b/>
                <w:sz w:val="22"/>
                <w:szCs w:val="22"/>
              </w:rPr>
              <w:t>/2019</w:t>
            </w:r>
          </w:p>
        </w:tc>
      </w:tr>
    </w:tbl>
    <w:p w:rsidR="00B2109B" w:rsidRPr="00CC11CC" w:rsidRDefault="00B2109B" w:rsidP="00B2109B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 w:rsidRPr="00CC11CC">
        <w:rPr>
          <w:sz w:val="22"/>
          <w:szCs w:val="22"/>
        </w:rPr>
        <w:tab/>
      </w:r>
      <w:r w:rsidRPr="00CC11CC">
        <w:rPr>
          <w:sz w:val="22"/>
          <w:szCs w:val="22"/>
        </w:rPr>
        <w:tab/>
      </w:r>
    </w:p>
    <w:p w:rsidR="00D0497C" w:rsidRPr="00CC11CC" w:rsidRDefault="00752E5A" w:rsidP="00D0497C">
      <w:pPr>
        <w:pStyle w:val="Cabealho"/>
        <w:spacing w:line="240" w:lineRule="atLeast"/>
        <w:ind w:left="5387"/>
        <w:rPr>
          <w:sz w:val="22"/>
          <w:szCs w:val="22"/>
        </w:rPr>
      </w:pPr>
      <w:r w:rsidRPr="00CC11CC">
        <w:rPr>
          <w:rFonts w:eastAsia="Verdana"/>
          <w:bCs/>
          <w:sz w:val="22"/>
          <w:szCs w:val="22"/>
        </w:rPr>
        <w:t>Extinção das Comissões Temporárias do CAU/DF</w:t>
      </w:r>
      <w:r w:rsidR="00D0497C" w:rsidRPr="00CC11CC">
        <w:rPr>
          <w:bCs/>
          <w:sz w:val="22"/>
          <w:szCs w:val="22"/>
        </w:rPr>
        <w:t>.</w:t>
      </w:r>
    </w:p>
    <w:p w:rsidR="00B2109B" w:rsidRPr="00CC11CC" w:rsidRDefault="00B2109B" w:rsidP="00B2109B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</w:p>
    <w:p w:rsidR="00B2109B" w:rsidRPr="00CC11CC" w:rsidRDefault="00B2109B" w:rsidP="00B2109B">
      <w:pPr>
        <w:rPr>
          <w:rFonts w:eastAsia="Verdana"/>
          <w:sz w:val="22"/>
          <w:szCs w:val="22"/>
        </w:rPr>
      </w:pPr>
      <w:r w:rsidRPr="00CC11CC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a subseção I, art. 19, do Regimento Interno do CAU/DF, e reunido ordinariamente em Brasília/DF, </w:t>
      </w:r>
      <w:r w:rsidR="0097275E" w:rsidRPr="00CC11CC">
        <w:rPr>
          <w:rFonts w:eastAsia="Verdana"/>
          <w:sz w:val="22"/>
          <w:szCs w:val="22"/>
        </w:rPr>
        <w:t xml:space="preserve">no </w:t>
      </w:r>
      <w:r w:rsidR="00933D8A" w:rsidRPr="00CC11CC">
        <w:rPr>
          <w:sz w:val="22"/>
          <w:szCs w:val="22"/>
        </w:rPr>
        <w:t>Instituto Histórico e Geográfico do Distrito Federal</w:t>
      </w:r>
      <w:r w:rsidRPr="00CC11CC">
        <w:rPr>
          <w:rFonts w:eastAsia="Verdana"/>
          <w:sz w:val="22"/>
          <w:szCs w:val="22"/>
        </w:rPr>
        <w:t>, no dia 2</w:t>
      </w:r>
      <w:r w:rsidR="0097275E" w:rsidRPr="00CC11CC">
        <w:rPr>
          <w:rFonts w:eastAsia="Verdana"/>
          <w:sz w:val="22"/>
          <w:szCs w:val="22"/>
        </w:rPr>
        <w:t>5</w:t>
      </w:r>
      <w:r w:rsidRPr="00CC11CC">
        <w:rPr>
          <w:rFonts w:eastAsia="Verdana"/>
          <w:sz w:val="22"/>
          <w:szCs w:val="22"/>
        </w:rPr>
        <w:t xml:space="preserve"> de </w:t>
      </w:r>
      <w:r w:rsidR="0097275E" w:rsidRPr="00CC11CC">
        <w:rPr>
          <w:rFonts w:eastAsia="Verdana"/>
          <w:sz w:val="22"/>
          <w:szCs w:val="22"/>
        </w:rPr>
        <w:t>fevereiro</w:t>
      </w:r>
      <w:r w:rsidRPr="00CC11CC">
        <w:rPr>
          <w:rFonts w:eastAsia="Verdana"/>
          <w:sz w:val="22"/>
          <w:szCs w:val="22"/>
        </w:rPr>
        <w:t xml:space="preserve"> de 2019, após análise do assunto em epígrafe, </w:t>
      </w:r>
      <w:proofErr w:type="gramStart"/>
      <w:r w:rsidRPr="00CC11CC">
        <w:rPr>
          <w:rFonts w:eastAsia="Verdana"/>
          <w:sz w:val="22"/>
          <w:szCs w:val="22"/>
        </w:rPr>
        <w:t>e</w:t>
      </w:r>
      <w:proofErr w:type="gramEnd"/>
    </w:p>
    <w:p w:rsidR="00B2109B" w:rsidRPr="00CC11CC" w:rsidRDefault="00B2109B" w:rsidP="00B2109B">
      <w:pPr>
        <w:spacing w:line="276" w:lineRule="auto"/>
        <w:ind w:left="-142"/>
        <w:rPr>
          <w:rFonts w:eastAsia="Verdana"/>
          <w:sz w:val="22"/>
          <w:szCs w:val="22"/>
        </w:rPr>
      </w:pPr>
    </w:p>
    <w:p w:rsidR="00752E5A" w:rsidRPr="00CC11CC" w:rsidRDefault="00752E5A" w:rsidP="00752E5A">
      <w:pPr>
        <w:rPr>
          <w:color w:val="000000" w:themeColor="text1"/>
          <w:sz w:val="22"/>
          <w:szCs w:val="22"/>
        </w:rPr>
      </w:pPr>
      <w:r w:rsidRPr="00CC11CC">
        <w:rPr>
          <w:rFonts w:eastAsia="Verdana"/>
          <w:sz w:val="22"/>
          <w:szCs w:val="22"/>
        </w:rPr>
        <w:t>Considerando o art. 124 do Regimento Interno do CAU/DF, que dispõe: “</w:t>
      </w:r>
      <w:r w:rsidRPr="00CC11CC">
        <w:rPr>
          <w:rFonts w:eastAsia="Verdana"/>
          <w:i/>
          <w:sz w:val="22"/>
          <w:szCs w:val="22"/>
        </w:rPr>
        <w:t xml:space="preserve">O funcionamento das comissões temporárias terá duração máxima de </w:t>
      </w:r>
      <w:proofErr w:type="gramStart"/>
      <w:r w:rsidRPr="00CC11CC">
        <w:rPr>
          <w:rFonts w:eastAsia="Verdana"/>
          <w:i/>
          <w:sz w:val="22"/>
          <w:szCs w:val="22"/>
        </w:rPr>
        <w:t>6</w:t>
      </w:r>
      <w:proofErr w:type="gramEnd"/>
      <w:r w:rsidRPr="00CC11CC">
        <w:rPr>
          <w:rFonts w:eastAsia="Verdana"/>
          <w:i/>
          <w:sz w:val="22"/>
          <w:szCs w:val="22"/>
        </w:rPr>
        <w:t xml:space="preserve"> (seis) meses</w:t>
      </w:r>
      <w:r w:rsidRPr="00CC11CC">
        <w:rPr>
          <w:rFonts w:eastAsia="Verdana"/>
          <w:sz w:val="22"/>
          <w:szCs w:val="22"/>
        </w:rPr>
        <w:t>” e “</w:t>
      </w:r>
      <w:r w:rsidRPr="00CC11CC">
        <w:rPr>
          <w:i/>
          <w:color w:val="000000" w:themeColor="text1"/>
          <w:sz w:val="22"/>
          <w:szCs w:val="22"/>
        </w:rPr>
        <w:t>§ 1º Observado o limite de prazo estabelecido no caput deste artigo, as comissões temporárias serão desconstituídas no ato de conclusão de seus trabalhos”.</w:t>
      </w:r>
      <w:r w:rsidRPr="00CC11CC">
        <w:rPr>
          <w:rFonts w:eastAsia="Verdana"/>
          <w:i/>
          <w:sz w:val="22"/>
          <w:szCs w:val="22"/>
        </w:rPr>
        <w:t>;</w:t>
      </w:r>
    </w:p>
    <w:p w:rsidR="00752E5A" w:rsidRPr="00CC11CC" w:rsidRDefault="00752E5A" w:rsidP="00752E5A">
      <w:pPr>
        <w:rPr>
          <w:rFonts w:eastAsia="Verdana"/>
          <w:sz w:val="22"/>
          <w:szCs w:val="22"/>
        </w:rPr>
      </w:pPr>
    </w:p>
    <w:p w:rsidR="00752E5A" w:rsidRPr="00CC11CC" w:rsidRDefault="00752E5A" w:rsidP="00752E5A">
      <w:pPr>
        <w:rPr>
          <w:rFonts w:eastAsia="Verdana"/>
          <w:sz w:val="22"/>
          <w:szCs w:val="22"/>
        </w:rPr>
      </w:pPr>
      <w:r w:rsidRPr="00CC11CC">
        <w:rPr>
          <w:rFonts w:eastAsia="Verdana"/>
          <w:sz w:val="22"/>
          <w:szCs w:val="22"/>
        </w:rPr>
        <w:t xml:space="preserve">Considerando a Deliberação Plenária nº </w:t>
      </w:r>
      <w:r w:rsidR="00CC11CC" w:rsidRPr="00CC11CC">
        <w:rPr>
          <w:rFonts w:eastAsia="Verdana"/>
          <w:sz w:val="22"/>
          <w:szCs w:val="22"/>
        </w:rPr>
        <w:t>225/2018,</w:t>
      </w:r>
      <w:r w:rsidRPr="00CC11CC">
        <w:rPr>
          <w:rFonts w:eastAsia="Verdana"/>
          <w:sz w:val="22"/>
          <w:szCs w:val="22"/>
        </w:rPr>
        <w:t xml:space="preserve"> </w:t>
      </w:r>
      <w:r w:rsidR="00CC11CC" w:rsidRPr="00CC11CC">
        <w:rPr>
          <w:rFonts w:eastAsia="Verdana"/>
          <w:sz w:val="22"/>
          <w:szCs w:val="22"/>
        </w:rPr>
        <w:t xml:space="preserve">de 26 de fevereiro de 2018, </w:t>
      </w:r>
      <w:r w:rsidRPr="00CC11CC">
        <w:rPr>
          <w:rFonts w:eastAsia="Verdana"/>
          <w:sz w:val="22"/>
          <w:szCs w:val="22"/>
        </w:rPr>
        <w:t>no qual</w:t>
      </w:r>
      <w:r w:rsidR="00CC11CC" w:rsidRPr="00CC11CC">
        <w:rPr>
          <w:rFonts w:eastAsia="Verdana"/>
          <w:sz w:val="22"/>
          <w:szCs w:val="22"/>
        </w:rPr>
        <w:t xml:space="preserve"> aprova a</w:t>
      </w:r>
      <w:r w:rsidRPr="00CC11CC">
        <w:rPr>
          <w:rFonts w:eastAsia="Verdana"/>
          <w:sz w:val="22"/>
          <w:szCs w:val="22"/>
        </w:rPr>
        <w:t xml:space="preserve"> </w:t>
      </w:r>
      <w:r w:rsidR="00CC11CC" w:rsidRPr="00CC11CC">
        <w:rPr>
          <w:bCs/>
          <w:sz w:val="22"/>
          <w:szCs w:val="22"/>
        </w:rPr>
        <w:t>criação da Comissão Temporária de Eventos</w:t>
      </w:r>
      <w:r w:rsidRPr="00CC11CC">
        <w:rPr>
          <w:rFonts w:eastAsia="Verdana"/>
          <w:sz w:val="22"/>
          <w:szCs w:val="22"/>
        </w:rPr>
        <w:t>;</w:t>
      </w:r>
    </w:p>
    <w:p w:rsidR="00CC11CC" w:rsidRPr="00CC11CC" w:rsidRDefault="00CC11CC" w:rsidP="00752E5A">
      <w:pPr>
        <w:rPr>
          <w:rFonts w:eastAsia="Verdana"/>
          <w:sz w:val="22"/>
          <w:szCs w:val="22"/>
        </w:rPr>
      </w:pPr>
    </w:p>
    <w:p w:rsidR="00CC11CC" w:rsidRPr="00CC11CC" w:rsidRDefault="00CC11CC" w:rsidP="00CC11CC">
      <w:pPr>
        <w:rPr>
          <w:rFonts w:eastAsia="Verdana"/>
          <w:sz w:val="22"/>
          <w:szCs w:val="22"/>
        </w:rPr>
      </w:pPr>
      <w:r w:rsidRPr="00CC11CC">
        <w:rPr>
          <w:rFonts w:eastAsia="Verdana"/>
          <w:sz w:val="22"/>
          <w:szCs w:val="22"/>
        </w:rPr>
        <w:t xml:space="preserve">Considerando a Deliberação Plenária nº 226/2018, de 26 de fevereiro de 2018, no qual aprova a </w:t>
      </w:r>
      <w:r w:rsidRPr="00CC11CC">
        <w:rPr>
          <w:bCs/>
          <w:sz w:val="22"/>
          <w:szCs w:val="22"/>
        </w:rPr>
        <w:t>criação da Comissão Temporária de Relações Institucionais e Parlamentares</w:t>
      </w:r>
      <w:r w:rsidRPr="00CC11CC">
        <w:rPr>
          <w:rFonts w:eastAsia="Verdana"/>
          <w:sz w:val="22"/>
          <w:szCs w:val="22"/>
        </w:rPr>
        <w:t xml:space="preserve">; </w:t>
      </w:r>
      <w:proofErr w:type="gramStart"/>
      <w:r w:rsidRPr="00CC11CC">
        <w:rPr>
          <w:rFonts w:eastAsia="Verdana"/>
          <w:sz w:val="22"/>
          <w:szCs w:val="22"/>
        </w:rPr>
        <w:t>e</w:t>
      </w:r>
      <w:proofErr w:type="gramEnd"/>
    </w:p>
    <w:p w:rsidR="00CC11CC" w:rsidRPr="00CC11CC" w:rsidRDefault="00CC11CC" w:rsidP="00752E5A">
      <w:pPr>
        <w:rPr>
          <w:rFonts w:eastAsia="Verdana"/>
          <w:sz w:val="22"/>
          <w:szCs w:val="22"/>
        </w:rPr>
      </w:pPr>
    </w:p>
    <w:p w:rsidR="00CC11CC" w:rsidRPr="00CC11CC" w:rsidRDefault="00CC11CC" w:rsidP="00CC11CC">
      <w:pPr>
        <w:rPr>
          <w:rFonts w:eastAsia="Verdana"/>
          <w:sz w:val="22"/>
          <w:szCs w:val="22"/>
        </w:rPr>
      </w:pPr>
      <w:r w:rsidRPr="00CC11CC">
        <w:rPr>
          <w:rFonts w:eastAsia="Verdana"/>
          <w:sz w:val="22"/>
          <w:szCs w:val="22"/>
        </w:rPr>
        <w:t xml:space="preserve">Considerando a Deliberação Plenária nº 228/2018, de 26 de fevereiro de 2018, no qual aprova a </w:t>
      </w:r>
      <w:r w:rsidRPr="00CC11CC">
        <w:rPr>
          <w:bCs/>
          <w:sz w:val="22"/>
          <w:szCs w:val="22"/>
        </w:rPr>
        <w:t>criação da Comissão Temporária de Assistência Técnica</w:t>
      </w:r>
      <w:r w:rsidRPr="00CC11CC">
        <w:rPr>
          <w:rFonts w:eastAsia="Verdana"/>
          <w:sz w:val="22"/>
          <w:szCs w:val="22"/>
        </w:rPr>
        <w:t>;</w:t>
      </w:r>
    </w:p>
    <w:p w:rsidR="00CC11CC" w:rsidRPr="00CC11CC" w:rsidRDefault="00CC11CC" w:rsidP="00752E5A">
      <w:pPr>
        <w:rPr>
          <w:rFonts w:eastAsia="Verdana"/>
          <w:sz w:val="22"/>
          <w:szCs w:val="22"/>
        </w:rPr>
      </w:pPr>
    </w:p>
    <w:p w:rsidR="00D0497C" w:rsidRPr="00CC11CC" w:rsidRDefault="00D0497C" w:rsidP="00D0497C">
      <w:pPr>
        <w:rPr>
          <w:rFonts w:eastAsia="Verdana"/>
          <w:b/>
          <w:sz w:val="22"/>
          <w:szCs w:val="22"/>
        </w:rPr>
      </w:pPr>
      <w:r w:rsidRPr="00CC11CC">
        <w:rPr>
          <w:rFonts w:eastAsia="Verdana"/>
          <w:b/>
          <w:sz w:val="22"/>
          <w:szCs w:val="22"/>
        </w:rPr>
        <w:t>DELIBEROU:</w:t>
      </w:r>
    </w:p>
    <w:p w:rsidR="00D0497C" w:rsidRPr="00CC11CC" w:rsidRDefault="00D0497C" w:rsidP="00D0497C">
      <w:pPr>
        <w:rPr>
          <w:rFonts w:eastAsia="Verdana"/>
          <w:sz w:val="22"/>
          <w:szCs w:val="22"/>
        </w:rPr>
      </w:pPr>
    </w:p>
    <w:p w:rsidR="00D0497C" w:rsidRPr="00CC11CC" w:rsidRDefault="00D0497C" w:rsidP="00D0497C">
      <w:pPr>
        <w:rPr>
          <w:rFonts w:eastAsia="Verdana"/>
          <w:bCs/>
          <w:sz w:val="22"/>
          <w:szCs w:val="22"/>
        </w:rPr>
      </w:pPr>
      <w:r w:rsidRPr="00CC11CC">
        <w:rPr>
          <w:rFonts w:eastAsia="Verdana"/>
          <w:sz w:val="22"/>
          <w:szCs w:val="22"/>
        </w:rPr>
        <w:t>1 –</w:t>
      </w:r>
      <w:r w:rsidRPr="00CC11CC">
        <w:rPr>
          <w:rFonts w:eastAsia="Verdana"/>
          <w:bCs/>
          <w:sz w:val="22"/>
          <w:szCs w:val="22"/>
        </w:rPr>
        <w:t xml:space="preserve"> </w:t>
      </w:r>
      <w:r w:rsidR="00247F6A">
        <w:rPr>
          <w:rFonts w:eastAsia="Verdana"/>
          <w:bCs/>
          <w:sz w:val="22"/>
          <w:szCs w:val="22"/>
        </w:rPr>
        <w:t>Por a</w:t>
      </w:r>
      <w:r w:rsidRPr="00CC11CC">
        <w:rPr>
          <w:rFonts w:eastAsia="Verdana"/>
          <w:bCs/>
          <w:sz w:val="22"/>
          <w:szCs w:val="22"/>
        </w:rPr>
        <w:t xml:space="preserve">provar </w:t>
      </w:r>
      <w:r w:rsidR="00CC11CC" w:rsidRPr="00CC11CC">
        <w:rPr>
          <w:rFonts w:eastAsia="Verdana"/>
          <w:bCs/>
          <w:sz w:val="22"/>
          <w:szCs w:val="22"/>
        </w:rPr>
        <w:t xml:space="preserve">a </w:t>
      </w:r>
      <w:r w:rsidR="00CC11CC" w:rsidRPr="00CC11CC">
        <w:rPr>
          <w:sz w:val="22"/>
          <w:szCs w:val="22"/>
          <w:lang w:eastAsia="ar-SA"/>
        </w:rPr>
        <w:t>extinção da Comissão Temporária de Eventos – CTE/CAU/DF, da Comissão Temporária de Relações Institucionais e Parlamentares – CTRIP-CAU/DF e da Comissão Temporária de Assistência Técnica – CTAT-CAU/DF;</w:t>
      </w:r>
      <w:r w:rsidR="00740EB0">
        <w:rPr>
          <w:sz w:val="22"/>
          <w:szCs w:val="22"/>
          <w:lang w:eastAsia="ar-SA"/>
        </w:rPr>
        <w:t xml:space="preserve"> </w:t>
      </w:r>
      <w:proofErr w:type="gramStart"/>
      <w:r w:rsidR="00740EB0">
        <w:rPr>
          <w:sz w:val="22"/>
          <w:szCs w:val="22"/>
          <w:lang w:eastAsia="ar-SA"/>
        </w:rPr>
        <w:t>e</w:t>
      </w:r>
      <w:proofErr w:type="gramEnd"/>
    </w:p>
    <w:p w:rsidR="00D0497C" w:rsidRPr="00CC11CC" w:rsidRDefault="00D0497C" w:rsidP="00D0497C">
      <w:pPr>
        <w:rPr>
          <w:rFonts w:eastAsia="Verdana"/>
          <w:bCs/>
          <w:sz w:val="22"/>
          <w:szCs w:val="22"/>
        </w:rPr>
      </w:pPr>
    </w:p>
    <w:p w:rsidR="00D0497C" w:rsidRPr="00CC11CC" w:rsidRDefault="00D0497C" w:rsidP="00D0497C">
      <w:pPr>
        <w:rPr>
          <w:rFonts w:eastAsia="Verdana"/>
          <w:sz w:val="22"/>
          <w:szCs w:val="22"/>
        </w:rPr>
      </w:pPr>
      <w:r w:rsidRPr="00CC11CC">
        <w:rPr>
          <w:rFonts w:eastAsia="Verdana"/>
          <w:bCs/>
          <w:sz w:val="22"/>
          <w:szCs w:val="22"/>
        </w:rPr>
        <w:t xml:space="preserve">2 </w:t>
      </w:r>
      <w:r w:rsidRPr="00CC11CC">
        <w:rPr>
          <w:rFonts w:eastAsia="Verdana"/>
          <w:sz w:val="22"/>
          <w:szCs w:val="22"/>
        </w:rPr>
        <w:t>– Encaminhar esta deliberação para publicação no sítio eletrônico do CAU/DF.</w:t>
      </w:r>
    </w:p>
    <w:p w:rsidR="00B2109B" w:rsidRPr="00CC11CC" w:rsidRDefault="00B2109B" w:rsidP="00B2109B">
      <w:pPr>
        <w:rPr>
          <w:rFonts w:eastAsia="Verdana"/>
          <w:sz w:val="22"/>
          <w:szCs w:val="22"/>
        </w:rPr>
      </w:pPr>
    </w:p>
    <w:p w:rsidR="00B2109B" w:rsidRPr="00CC11CC" w:rsidRDefault="00B2109B" w:rsidP="00B2109B">
      <w:pPr>
        <w:rPr>
          <w:rFonts w:eastAsia="Verdana"/>
          <w:sz w:val="22"/>
          <w:szCs w:val="22"/>
        </w:rPr>
      </w:pPr>
    </w:p>
    <w:p w:rsidR="00B2109B" w:rsidRPr="00CC11CC" w:rsidRDefault="00B2109B" w:rsidP="00B2109B">
      <w:pPr>
        <w:rPr>
          <w:rFonts w:eastAsia="Verdana"/>
          <w:sz w:val="22"/>
          <w:szCs w:val="22"/>
        </w:rPr>
      </w:pPr>
      <w:r w:rsidRPr="00CC11CC">
        <w:rPr>
          <w:rFonts w:eastAsia="Verdana"/>
          <w:sz w:val="22"/>
          <w:szCs w:val="22"/>
        </w:rPr>
        <w:t>Esta deliberação entra em vigor nesta data.</w:t>
      </w:r>
      <w:bookmarkStart w:id="0" w:name="_GoBack"/>
      <w:bookmarkEnd w:id="0"/>
    </w:p>
    <w:p w:rsidR="00B2109B" w:rsidRPr="00CC11CC" w:rsidRDefault="00B2109B" w:rsidP="00B2109B">
      <w:pPr>
        <w:rPr>
          <w:rFonts w:eastAsia="Verdana"/>
          <w:b/>
          <w:sz w:val="22"/>
          <w:szCs w:val="22"/>
        </w:rPr>
      </w:pPr>
    </w:p>
    <w:p w:rsidR="00B2109B" w:rsidRPr="00CC11CC" w:rsidRDefault="00B2109B" w:rsidP="00B2109B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CC11CC">
        <w:rPr>
          <w:sz w:val="22"/>
          <w:szCs w:val="22"/>
          <w:lang w:eastAsia="pt-BR"/>
        </w:rPr>
        <w:t xml:space="preserve">Com </w:t>
      </w:r>
      <w:r w:rsidR="000070A6" w:rsidRPr="00CC11CC">
        <w:rPr>
          <w:b/>
          <w:bCs/>
          <w:sz w:val="22"/>
          <w:szCs w:val="22"/>
          <w:lang w:eastAsia="pt-BR"/>
        </w:rPr>
        <w:t>10</w:t>
      </w:r>
      <w:r w:rsidRPr="00CC11CC">
        <w:rPr>
          <w:b/>
          <w:bCs/>
          <w:sz w:val="22"/>
          <w:szCs w:val="22"/>
          <w:lang w:eastAsia="pt-BR"/>
        </w:rPr>
        <w:t xml:space="preserve"> votos favoráveis</w:t>
      </w:r>
      <w:r w:rsidRPr="00CC11CC">
        <w:rPr>
          <w:sz w:val="22"/>
          <w:szCs w:val="22"/>
          <w:lang w:eastAsia="pt-BR"/>
        </w:rPr>
        <w:t xml:space="preserve"> dos conselheiros: Antônio Menezes Junior, </w:t>
      </w:r>
      <w:r w:rsidR="000070A6" w:rsidRPr="00CC11CC">
        <w:rPr>
          <w:sz w:val="22"/>
          <w:szCs w:val="22"/>
          <w:lang w:eastAsia="pt-BR"/>
        </w:rPr>
        <w:t>André Bello</w:t>
      </w:r>
      <w:r w:rsidRPr="00CC11CC">
        <w:rPr>
          <w:sz w:val="22"/>
          <w:szCs w:val="22"/>
          <w:lang w:eastAsia="pt-BR"/>
        </w:rPr>
        <w:t xml:space="preserve">, Gabriela de Souza Tenório, </w:t>
      </w:r>
      <w:r w:rsidR="000070A6" w:rsidRPr="00CC11CC">
        <w:rPr>
          <w:sz w:val="22"/>
          <w:szCs w:val="22"/>
          <w:lang w:eastAsia="pt-BR"/>
        </w:rPr>
        <w:t>Giselle Moll Mascarenhas</w:t>
      </w:r>
      <w:r w:rsidRPr="00CC11CC">
        <w:rPr>
          <w:sz w:val="22"/>
          <w:szCs w:val="22"/>
          <w:lang w:eastAsia="pt-BR"/>
        </w:rPr>
        <w:t>, João Gilberto de Carvalho Accioly,</w:t>
      </w:r>
      <w:r w:rsidR="000070A6" w:rsidRPr="00CC11CC">
        <w:rPr>
          <w:sz w:val="22"/>
          <w:szCs w:val="22"/>
          <w:lang w:eastAsia="pt-BR"/>
        </w:rPr>
        <w:t xml:space="preserve"> Luciana Jobim Navarro, Mônica Andréa Blanco, Paulo Cavalcanti de Albuquerque, Pedro de Almeida Grilo</w:t>
      </w:r>
      <w:r w:rsidRPr="00CC11CC">
        <w:rPr>
          <w:sz w:val="22"/>
          <w:szCs w:val="22"/>
          <w:lang w:eastAsia="pt-BR"/>
        </w:rPr>
        <w:t xml:space="preserve"> e Rogério </w:t>
      </w:r>
      <w:proofErr w:type="spellStart"/>
      <w:r w:rsidRPr="00CC11CC">
        <w:rPr>
          <w:sz w:val="22"/>
          <w:szCs w:val="22"/>
          <w:lang w:eastAsia="pt-BR"/>
        </w:rPr>
        <w:t>Markiewicz</w:t>
      </w:r>
      <w:proofErr w:type="spellEnd"/>
      <w:r w:rsidRPr="00CC11CC">
        <w:rPr>
          <w:sz w:val="22"/>
          <w:szCs w:val="22"/>
          <w:lang w:eastAsia="pt-BR"/>
        </w:rPr>
        <w:t xml:space="preserve">; </w:t>
      </w:r>
      <w:r w:rsidR="000070A6" w:rsidRPr="00CC11CC">
        <w:rPr>
          <w:sz w:val="22"/>
          <w:szCs w:val="22"/>
          <w:lang w:eastAsia="pt-BR"/>
        </w:rPr>
        <w:t>00</w:t>
      </w:r>
      <w:r w:rsidRPr="00CC11CC">
        <w:rPr>
          <w:sz w:val="22"/>
          <w:szCs w:val="22"/>
          <w:lang w:eastAsia="pt-BR"/>
        </w:rPr>
        <w:t xml:space="preserve"> ausência; 00 voto contrário e 00 abstenção.</w:t>
      </w:r>
    </w:p>
    <w:p w:rsidR="00B2109B" w:rsidRPr="00214155" w:rsidRDefault="00B2109B" w:rsidP="00B2109B">
      <w:pPr>
        <w:autoSpaceDE w:val="0"/>
        <w:autoSpaceDN w:val="0"/>
        <w:adjustRightInd w:val="0"/>
        <w:ind w:left="-142"/>
        <w:rPr>
          <w:sz w:val="22"/>
          <w:szCs w:val="22"/>
          <w:lang w:eastAsia="pt-BR"/>
        </w:rPr>
      </w:pPr>
    </w:p>
    <w:p w:rsidR="00B2109B" w:rsidRPr="00214155" w:rsidRDefault="00B2109B" w:rsidP="00B2109B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 xml:space="preserve">Brasília - DF, </w:t>
      </w:r>
      <w:r w:rsidR="000070A6">
        <w:rPr>
          <w:rFonts w:eastAsia="Verdana"/>
          <w:sz w:val="22"/>
          <w:szCs w:val="22"/>
        </w:rPr>
        <w:t>25 de fevereiro</w:t>
      </w:r>
      <w:r w:rsidRPr="00214155">
        <w:rPr>
          <w:rFonts w:eastAsia="Verdana"/>
          <w:sz w:val="22"/>
          <w:szCs w:val="22"/>
        </w:rPr>
        <w:t xml:space="preserve"> de 2019.</w:t>
      </w: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214155" w:rsidRPr="00214155" w:rsidRDefault="00214155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spacing w:line="276" w:lineRule="auto"/>
        <w:ind w:left="-142"/>
        <w:jc w:val="center"/>
        <w:rPr>
          <w:rFonts w:eastAsia="Verdana"/>
          <w:b/>
          <w:sz w:val="22"/>
          <w:szCs w:val="22"/>
        </w:rPr>
      </w:pPr>
      <w:r w:rsidRPr="00214155">
        <w:rPr>
          <w:rFonts w:eastAsia="Verdana"/>
          <w:b/>
          <w:sz w:val="22"/>
          <w:szCs w:val="22"/>
        </w:rPr>
        <w:t xml:space="preserve">Daniel Mangabeira da Vinha </w:t>
      </w:r>
    </w:p>
    <w:p w:rsidR="00B2109B" w:rsidRPr="00214155" w:rsidRDefault="00B2109B" w:rsidP="00B2109B">
      <w:pPr>
        <w:spacing w:line="276" w:lineRule="auto"/>
        <w:ind w:left="-142"/>
        <w:jc w:val="center"/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>Presidente do CAU/DF</w:t>
      </w:r>
    </w:p>
    <w:p w:rsidR="00B2109B" w:rsidRPr="00214155" w:rsidRDefault="00B2109B" w:rsidP="00C7345E">
      <w:pPr>
        <w:pStyle w:val="Recuodecorpodetexto2"/>
        <w:spacing w:before="60" w:after="60" w:line="264" w:lineRule="auto"/>
        <w:ind w:left="708" w:firstLine="708"/>
        <w:rPr>
          <w:rFonts w:ascii="Times New Roman" w:hAnsi="Times New Roman"/>
          <w:sz w:val="22"/>
          <w:szCs w:val="22"/>
        </w:rPr>
      </w:pPr>
    </w:p>
    <w:sectPr w:rsidR="00B2109B" w:rsidRPr="00214155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C0A" w:rsidRDefault="00986C0A">
      <w:r>
        <w:separator/>
      </w:r>
    </w:p>
  </w:endnote>
  <w:endnote w:type="continuationSeparator" w:id="0">
    <w:p w:rsidR="00986C0A" w:rsidRDefault="00986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C0A" w:rsidRDefault="00986C0A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7004F9C2" wp14:editId="09EE7EB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740EB0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740EB0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986C0A" w:rsidRPr="0034385E" w:rsidRDefault="00986C0A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986C0A" w:rsidRPr="00030DEF" w:rsidRDefault="00986C0A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986C0A" w:rsidRPr="00030DEF" w:rsidRDefault="00986C0A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C0A" w:rsidRDefault="00986C0A">
      <w:r>
        <w:separator/>
      </w:r>
    </w:p>
  </w:footnote>
  <w:footnote w:type="continuationSeparator" w:id="0">
    <w:p w:rsidR="00986C0A" w:rsidRDefault="00986C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C0A" w:rsidRDefault="00740EB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C0A" w:rsidRDefault="00986C0A" w:rsidP="00507974">
    <w:pPr>
      <w:pStyle w:val="Rodap"/>
      <w:ind w:left="-1701" w:right="-851"/>
      <w:jc w:val="left"/>
    </w:pPr>
  </w:p>
  <w:p w:rsidR="00986C0A" w:rsidRDefault="00986C0A" w:rsidP="00507974">
    <w:pPr>
      <w:pStyle w:val="Rodap"/>
      <w:ind w:right="-851"/>
      <w:jc w:val="left"/>
    </w:pPr>
  </w:p>
  <w:p w:rsidR="00986C0A" w:rsidRPr="008B6F05" w:rsidRDefault="00986C0A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278999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C0A" w:rsidRDefault="00740EB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2"/>
  </w:num>
  <w:num w:numId="6">
    <w:abstractNumId w:val="4"/>
  </w:num>
  <w:num w:numId="7">
    <w:abstractNumId w:val="11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42B0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270A"/>
    <w:rsid w:val="001C3075"/>
    <w:rsid w:val="001C468A"/>
    <w:rsid w:val="001D3CE0"/>
    <w:rsid w:val="001F1483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30D6"/>
    <w:rsid w:val="00247F6A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5281E"/>
    <w:rsid w:val="00456249"/>
    <w:rsid w:val="00465361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65D1B"/>
    <w:rsid w:val="0057342E"/>
    <w:rsid w:val="00575CB0"/>
    <w:rsid w:val="00582CC0"/>
    <w:rsid w:val="005876A5"/>
    <w:rsid w:val="0059519F"/>
    <w:rsid w:val="005B0418"/>
    <w:rsid w:val="005B245D"/>
    <w:rsid w:val="005B4A73"/>
    <w:rsid w:val="005B7180"/>
    <w:rsid w:val="005C6A14"/>
    <w:rsid w:val="005C7F36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B1042"/>
    <w:rsid w:val="006C01CD"/>
    <w:rsid w:val="006C43B7"/>
    <w:rsid w:val="006C4650"/>
    <w:rsid w:val="006D327B"/>
    <w:rsid w:val="007208D6"/>
    <w:rsid w:val="00722E61"/>
    <w:rsid w:val="0072737B"/>
    <w:rsid w:val="00727ADF"/>
    <w:rsid w:val="00735931"/>
    <w:rsid w:val="00736605"/>
    <w:rsid w:val="00736B6F"/>
    <w:rsid w:val="00740EB0"/>
    <w:rsid w:val="00745528"/>
    <w:rsid w:val="00747001"/>
    <w:rsid w:val="00747C74"/>
    <w:rsid w:val="00752E5A"/>
    <w:rsid w:val="00755D48"/>
    <w:rsid w:val="00772161"/>
    <w:rsid w:val="00772831"/>
    <w:rsid w:val="007732DF"/>
    <w:rsid w:val="00784432"/>
    <w:rsid w:val="007877A2"/>
    <w:rsid w:val="007966C2"/>
    <w:rsid w:val="007A40A1"/>
    <w:rsid w:val="007B28F0"/>
    <w:rsid w:val="007C5049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4B87"/>
    <w:rsid w:val="00855019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3D8A"/>
    <w:rsid w:val="009400BC"/>
    <w:rsid w:val="0094422A"/>
    <w:rsid w:val="00960E64"/>
    <w:rsid w:val="00963E23"/>
    <w:rsid w:val="0097275E"/>
    <w:rsid w:val="00986C0A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0030"/>
    <w:rsid w:val="00A74A33"/>
    <w:rsid w:val="00A810F3"/>
    <w:rsid w:val="00A875DB"/>
    <w:rsid w:val="00A94A5F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32C6"/>
    <w:rsid w:val="00AF3D11"/>
    <w:rsid w:val="00AF3E2D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24B9"/>
    <w:rsid w:val="00D0497C"/>
    <w:rsid w:val="00D20D64"/>
    <w:rsid w:val="00D217AA"/>
    <w:rsid w:val="00D22C14"/>
    <w:rsid w:val="00D41554"/>
    <w:rsid w:val="00D514B3"/>
    <w:rsid w:val="00D52660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115F7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0398F2-BE7E-44A3-9256-DD0AA2701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332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13</cp:revision>
  <cp:lastPrinted>2019-02-27T14:30:00Z</cp:lastPrinted>
  <dcterms:created xsi:type="dcterms:W3CDTF">2019-01-29T14:38:00Z</dcterms:created>
  <dcterms:modified xsi:type="dcterms:W3CDTF">2019-02-27T19:27:00Z</dcterms:modified>
</cp:coreProperties>
</file>