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5A3B50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5A3B50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PROPOSTA DO CEAU/DF COM O INTUITO DE INDICAR REPRESENTANTE DE ENTIDADE PARA COMPOR O PLENÁRIO DO CAU/DF COM DIREITO A VOTO </w:t>
            </w: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DF.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15E20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C50CE3">
              <w:rPr>
                <w:b/>
                <w:sz w:val="22"/>
                <w:szCs w:val="22"/>
              </w:rPr>
              <w:t>022</w:t>
            </w:r>
            <w:r w:rsidR="005A3B50">
              <w:rPr>
                <w:b/>
                <w:sz w:val="22"/>
                <w:szCs w:val="22"/>
              </w:rPr>
              <w:t>9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A3B50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Analisar </w:t>
      </w:r>
      <w:r w:rsidRPr="005A3B50">
        <w:rPr>
          <w:rFonts w:eastAsia="Verdana"/>
          <w:bCs/>
          <w:sz w:val="22"/>
          <w:szCs w:val="22"/>
        </w:rPr>
        <w:t>proposta do CEAU/DF com o intuito de indicar representante de entidade para compor o Plenário do CAU/DF com direito a voto</w:t>
      </w:r>
      <w:r w:rsidR="00F10161"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803B28" w:rsidRDefault="00F077FE" w:rsidP="00737FE5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5A3B50" w:rsidRPr="005A3B50">
        <w:rPr>
          <w:rFonts w:eastAsia="Verdana"/>
          <w:bCs/>
          <w:sz w:val="22"/>
          <w:szCs w:val="22"/>
        </w:rPr>
        <w:t>proposta do CEAU/DF com o intuito de indicar representante de entidade para compor o Plenário do CAU/DF com direito a voto</w:t>
      </w:r>
      <w:r w:rsidR="005A3B50">
        <w:rPr>
          <w:rFonts w:eastAsia="Verdana"/>
          <w:sz w:val="22"/>
          <w:szCs w:val="22"/>
        </w:rPr>
        <w:t xml:space="preserve">; </w:t>
      </w:r>
      <w:proofErr w:type="gramStart"/>
      <w:r w:rsidR="005A3B50">
        <w:rPr>
          <w:rFonts w:eastAsia="Verdana"/>
          <w:sz w:val="22"/>
          <w:szCs w:val="22"/>
        </w:rPr>
        <w:t>e</w:t>
      </w:r>
      <w:proofErr w:type="gramEnd"/>
    </w:p>
    <w:p w:rsidR="005A3B50" w:rsidRDefault="005A3B50" w:rsidP="00737FE5">
      <w:pPr>
        <w:ind w:left="-142"/>
        <w:rPr>
          <w:rFonts w:eastAsia="Verdana"/>
          <w:sz w:val="22"/>
          <w:szCs w:val="22"/>
        </w:rPr>
      </w:pPr>
    </w:p>
    <w:p w:rsidR="005A3B50" w:rsidRDefault="005A3B50" w:rsidP="00737FE5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>Considerando</w:t>
      </w:r>
      <w:r w:rsidRPr="005A3B50">
        <w:rPr>
          <w:rFonts w:eastAsia="Verdana"/>
          <w:bCs/>
          <w:sz w:val="22"/>
          <w:szCs w:val="22"/>
        </w:rPr>
        <w:t xml:space="preserve"> </w:t>
      </w:r>
      <w:r>
        <w:rPr>
          <w:rFonts w:eastAsia="Verdana"/>
          <w:bCs/>
          <w:sz w:val="22"/>
          <w:szCs w:val="22"/>
        </w:rPr>
        <w:t xml:space="preserve">que </w:t>
      </w:r>
      <w:r w:rsidRPr="005A3B50">
        <w:rPr>
          <w:rFonts w:eastAsia="Verdana"/>
          <w:bCs/>
          <w:sz w:val="22"/>
          <w:szCs w:val="22"/>
        </w:rPr>
        <w:t>regimentalmente não há possibilidade de o CEAU/DF participar da composição do Plenário</w:t>
      </w:r>
      <w:r>
        <w:rPr>
          <w:rFonts w:eastAsia="Verdana"/>
          <w:bCs/>
          <w:sz w:val="22"/>
          <w:szCs w:val="22"/>
        </w:rPr>
        <w:t>.</w:t>
      </w:r>
    </w:p>
    <w:p w:rsidR="00737FE5" w:rsidRPr="00803B28" w:rsidRDefault="00737FE5" w:rsidP="00737FE5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803B28">
        <w:rPr>
          <w:rFonts w:eastAsia="Verdana"/>
          <w:bCs/>
          <w:sz w:val="22"/>
          <w:szCs w:val="22"/>
        </w:rPr>
        <w:t xml:space="preserve">Aprovar </w:t>
      </w:r>
      <w:r w:rsidR="00993742" w:rsidRPr="00993742">
        <w:rPr>
          <w:rFonts w:eastAsia="Verdana"/>
          <w:bCs/>
          <w:sz w:val="22"/>
          <w:szCs w:val="22"/>
        </w:rPr>
        <w:t xml:space="preserve">que os relatos do CEAU/DF sejam realizados nas </w:t>
      </w:r>
      <w:r w:rsidR="00143199">
        <w:rPr>
          <w:rFonts w:eastAsia="Verdana"/>
          <w:bCs/>
          <w:sz w:val="22"/>
          <w:szCs w:val="22"/>
        </w:rPr>
        <w:t xml:space="preserve">reuniões </w:t>
      </w:r>
      <w:bookmarkStart w:id="0" w:name="_GoBack"/>
      <w:bookmarkEnd w:id="0"/>
      <w:r w:rsidR="00993742" w:rsidRPr="00993742">
        <w:rPr>
          <w:rFonts w:eastAsia="Verdana"/>
          <w:bCs/>
          <w:sz w:val="22"/>
          <w:szCs w:val="22"/>
        </w:rPr>
        <w:t>Plenárias do CAU/DF</w:t>
      </w:r>
      <w:r w:rsidR="00A143F5">
        <w:rPr>
          <w:rFonts w:eastAsia="Verdana"/>
          <w:bCs/>
          <w:sz w:val="22"/>
          <w:szCs w:val="22"/>
        </w:rPr>
        <w:t xml:space="preserve">; </w:t>
      </w:r>
      <w:proofErr w:type="gramStart"/>
      <w:r w:rsidR="00A143F5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8C01E0">
        <w:rPr>
          <w:b/>
          <w:sz w:val="22"/>
          <w:szCs w:val="22"/>
          <w:lang w:eastAsia="pt-BR"/>
        </w:rPr>
        <w:t>8</w:t>
      </w:r>
      <w:proofErr w:type="gramEnd"/>
      <w:r w:rsidR="00AC1A5E" w:rsidRPr="00791419">
        <w:rPr>
          <w:b/>
          <w:bCs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</w:t>
      </w:r>
      <w:r w:rsidR="001272B5">
        <w:rPr>
          <w:sz w:val="22"/>
          <w:szCs w:val="22"/>
          <w:lang w:eastAsia="pt-BR"/>
        </w:rPr>
        <w:t xml:space="preserve">(as) </w:t>
      </w:r>
      <w:r w:rsidR="003E1D0D" w:rsidRPr="003D0183">
        <w:rPr>
          <w:sz w:val="22"/>
          <w:szCs w:val="22"/>
          <w:lang w:eastAsia="pt-BR"/>
        </w:rPr>
        <w:t>conselheiros</w:t>
      </w:r>
      <w:r w:rsidR="001272B5">
        <w:rPr>
          <w:sz w:val="22"/>
          <w:szCs w:val="22"/>
          <w:lang w:eastAsia="pt-BR"/>
        </w:rPr>
        <w:t xml:space="preserve"> (as)</w:t>
      </w:r>
      <w:r w:rsidR="003E1D0D" w:rsidRPr="003D0183">
        <w:rPr>
          <w:sz w:val="22"/>
          <w:szCs w:val="22"/>
          <w:lang w:eastAsia="pt-BR"/>
        </w:rPr>
        <w:t>:</w:t>
      </w:r>
      <w:r w:rsidR="001272B5">
        <w:rPr>
          <w:sz w:val="22"/>
          <w:szCs w:val="22"/>
          <w:lang w:eastAsia="pt-BR"/>
        </w:rPr>
        <w:t xml:space="preserve"> </w:t>
      </w:r>
      <w:r w:rsidR="00FE08A9" w:rsidRPr="00791419">
        <w:rPr>
          <w:sz w:val="22"/>
          <w:szCs w:val="22"/>
          <w:lang w:eastAsia="pt-BR"/>
        </w:rPr>
        <w:t>Antônio Menezes Junior</w:t>
      </w:r>
      <w:r w:rsidR="00FE08A9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 xml:space="preserve">Daniel Marcos Szwec dos Santos Fernandes, Gabriela de Souza Tenório, Giselle Moll Mascarenhas, Luciana Jobim Navarro, Mônica Andréa Blanco,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993742">
        <w:rPr>
          <w:sz w:val="22"/>
          <w:szCs w:val="22"/>
          <w:lang w:eastAsia="pt-BR"/>
        </w:rPr>
        <w:t xml:space="preserve">; </w:t>
      </w:r>
      <w:r w:rsidR="00993742" w:rsidRPr="00993742">
        <w:rPr>
          <w:b/>
          <w:bCs/>
          <w:sz w:val="22"/>
          <w:szCs w:val="22"/>
          <w:lang w:eastAsia="pt-BR"/>
        </w:rPr>
        <w:t xml:space="preserve">2 ausências </w:t>
      </w:r>
      <w:r w:rsidR="00B8304F">
        <w:rPr>
          <w:sz w:val="22"/>
          <w:szCs w:val="22"/>
          <w:lang w:eastAsia="pt-BR"/>
        </w:rPr>
        <w:t>Rogério Markiewicz</w:t>
      </w:r>
      <w:r w:rsidR="00993742">
        <w:rPr>
          <w:sz w:val="22"/>
          <w:szCs w:val="22"/>
          <w:lang w:eastAsia="pt-BR"/>
        </w:rPr>
        <w:t xml:space="preserve"> e</w:t>
      </w:r>
      <w:r w:rsidR="00993742" w:rsidRPr="00993742">
        <w:rPr>
          <w:sz w:val="22"/>
          <w:szCs w:val="22"/>
          <w:lang w:eastAsia="pt-BR"/>
        </w:rPr>
        <w:t xml:space="preserve"> João Gilberto de Carvalho Accioly</w:t>
      </w:r>
      <w:r w:rsidR="00993742">
        <w:rPr>
          <w:sz w:val="22"/>
          <w:szCs w:val="22"/>
          <w:lang w:eastAsia="pt-BR"/>
        </w:rPr>
        <w:t>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143199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143199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14319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14319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3BE1"/>
    <w:rsid w:val="00116385"/>
    <w:rsid w:val="0012203F"/>
    <w:rsid w:val="00122F68"/>
    <w:rsid w:val="00125B17"/>
    <w:rsid w:val="0012643A"/>
    <w:rsid w:val="001272B5"/>
    <w:rsid w:val="00127FC8"/>
    <w:rsid w:val="00133A6E"/>
    <w:rsid w:val="00135373"/>
    <w:rsid w:val="00143199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442FD"/>
    <w:rsid w:val="002517C8"/>
    <w:rsid w:val="00252812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679FE"/>
    <w:rsid w:val="003717D1"/>
    <w:rsid w:val="0038066D"/>
    <w:rsid w:val="003874B1"/>
    <w:rsid w:val="00392584"/>
    <w:rsid w:val="003A5A8F"/>
    <w:rsid w:val="003A657E"/>
    <w:rsid w:val="003B4EC9"/>
    <w:rsid w:val="003B50EE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3B50"/>
    <w:rsid w:val="005A74E2"/>
    <w:rsid w:val="005B4879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4ACC"/>
    <w:rsid w:val="00924EE5"/>
    <w:rsid w:val="00925D1B"/>
    <w:rsid w:val="00930CAF"/>
    <w:rsid w:val="0093352B"/>
    <w:rsid w:val="00935CE7"/>
    <w:rsid w:val="00937779"/>
    <w:rsid w:val="009419AB"/>
    <w:rsid w:val="0095237E"/>
    <w:rsid w:val="00976C27"/>
    <w:rsid w:val="00983CC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07E5"/>
    <w:rsid w:val="00A12938"/>
    <w:rsid w:val="00A143F5"/>
    <w:rsid w:val="00A146ED"/>
    <w:rsid w:val="00A150BB"/>
    <w:rsid w:val="00A17DBF"/>
    <w:rsid w:val="00A21932"/>
    <w:rsid w:val="00A3330C"/>
    <w:rsid w:val="00A34162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6E60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1981-431D-490B-A371-A3943C16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436</cp:revision>
  <cp:lastPrinted>2017-12-05T12:47:00Z</cp:lastPrinted>
  <dcterms:created xsi:type="dcterms:W3CDTF">2017-11-23T17:05:00Z</dcterms:created>
  <dcterms:modified xsi:type="dcterms:W3CDTF">2018-03-19T17:59:00Z</dcterms:modified>
</cp:coreProperties>
</file>