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737FE5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CRIAÇÃO</w:t>
            </w:r>
            <w:r w:rsidR="003679F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DA</w:t>
            </w:r>
            <w:r w:rsidR="00F10161" w:rsidRPr="00F10161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COMISSÃO TEMPORÁRIA DE ASSISTÊNCIA TÉCNICA</w:t>
            </w:r>
            <w:r w:rsidR="00F10161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 xml:space="preserve"> DO CAU/DF.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15E20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C50CE3">
              <w:rPr>
                <w:b/>
                <w:sz w:val="22"/>
                <w:szCs w:val="22"/>
              </w:rPr>
              <w:t>022</w:t>
            </w:r>
            <w:r w:rsidR="00737FE5">
              <w:rPr>
                <w:b/>
                <w:sz w:val="22"/>
                <w:szCs w:val="22"/>
              </w:rPr>
              <w:t>8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737FE5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>Aprovar a criação</w:t>
      </w:r>
      <w:r>
        <w:rPr>
          <w:bCs/>
          <w:sz w:val="22"/>
          <w:szCs w:val="22"/>
        </w:rPr>
        <w:t xml:space="preserve"> </w:t>
      </w:r>
      <w:r w:rsidR="003679FE">
        <w:rPr>
          <w:bCs/>
          <w:sz w:val="22"/>
          <w:szCs w:val="22"/>
        </w:rPr>
        <w:t>da</w:t>
      </w:r>
      <w:r w:rsidR="00F10161" w:rsidRPr="00F10161">
        <w:rPr>
          <w:bCs/>
          <w:sz w:val="22"/>
          <w:szCs w:val="22"/>
        </w:rPr>
        <w:t xml:space="preserve"> Comissão Temporária de Assistência Técnica</w:t>
      </w:r>
      <w:r w:rsidR="00F10161">
        <w:rPr>
          <w:bCs/>
          <w:sz w:val="22"/>
          <w:szCs w:val="22"/>
        </w:rPr>
        <w:t xml:space="preserve"> do CAU/DF</w:t>
      </w:r>
      <w:r w:rsidR="00F10161"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>, após análise do assunto em epígrafe, e</w:t>
      </w:r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803B28" w:rsidRDefault="00F077FE" w:rsidP="00737FE5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0B408A">
        <w:rPr>
          <w:rFonts w:eastAsia="Verdana"/>
          <w:sz w:val="22"/>
          <w:szCs w:val="22"/>
        </w:rPr>
        <w:t xml:space="preserve">a </w:t>
      </w:r>
      <w:r w:rsidR="002D3853">
        <w:rPr>
          <w:rFonts w:eastAsia="Verdana"/>
          <w:sz w:val="22"/>
          <w:szCs w:val="22"/>
        </w:rPr>
        <w:t>p</w:t>
      </w:r>
      <w:r w:rsidR="00A6666A" w:rsidRPr="00A6666A">
        <w:rPr>
          <w:rFonts w:eastAsia="Verdana"/>
          <w:sz w:val="22"/>
          <w:szCs w:val="22"/>
        </w:rPr>
        <w:t xml:space="preserve">roposta </w:t>
      </w:r>
      <w:r w:rsidR="000B408A">
        <w:rPr>
          <w:rFonts w:eastAsia="Verdana"/>
          <w:sz w:val="22"/>
          <w:szCs w:val="22"/>
        </w:rPr>
        <w:t xml:space="preserve">de </w:t>
      </w:r>
      <w:r w:rsidR="00737FE5">
        <w:rPr>
          <w:rFonts w:eastAsia="Verdana"/>
          <w:bCs/>
          <w:sz w:val="22"/>
          <w:szCs w:val="22"/>
        </w:rPr>
        <w:t>c</w:t>
      </w:r>
      <w:r w:rsidR="00F10161" w:rsidRPr="00F10161">
        <w:rPr>
          <w:rFonts w:eastAsia="Verdana"/>
          <w:bCs/>
          <w:sz w:val="22"/>
          <w:szCs w:val="22"/>
        </w:rPr>
        <w:t>riação de Comissão Temporária de Assistência Técnica</w:t>
      </w:r>
      <w:r w:rsidR="00F10161">
        <w:rPr>
          <w:rFonts w:eastAsia="Verdana"/>
          <w:bCs/>
          <w:sz w:val="22"/>
          <w:szCs w:val="22"/>
        </w:rPr>
        <w:t xml:space="preserve"> </w:t>
      </w:r>
      <w:r w:rsidR="00F10161">
        <w:rPr>
          <w:rFonts w:eastAsia="Verdana"/>
          <w:sz w:val="22"/>
          <w:szCs w:val="22"/>
        </w:rPr>
        <w:t>do CAU/DF</w:t>
      </w:r>
      <w:r w:rsidR="00267601">
        <w:rPr>
          <w:rFonts w:eastAsia="Verdana"/>
          <w:sz w:val="22"/>
          <w:szCs w:val="22"/>
        </w:rPr>
        <w:t>.</w:t>
      </w:r>
    </w:p>
    <w:p w:rsidR="00737FE5" w:rsidRPr="00803B28" w:rsidRDefault="00737FE5" w:rsidP="00737FE5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803B28">
        <w:rPr>
          <w:rFonts w:eastAsia="Verdana"/>
          <w:bCs/>
          <w:sz w:val="22"/>
          <w:szCs w:val="22"/>
        </w:rPr>
        <w:t xml:space="preserve">Aprovar </w:t>
      </w:r>
      <w:r w:rsidR="001272B5" w:rsidRPr="001272B5">
        <w:rPr>
          <w:rFonts w:eastAsia="Verdana"/>
          <w:bCs/>
          <w:sz w:val="22"/>
          <w:szCs w:val="22"/>
        </w:rPr>
        <w:t xml:space="preserve">a </w:t>
      </w:r>
      <w:r w:rsidR="00A45918">
        <w:rPr>
          <w:rFonts w:eastAsia="Verdana"/>
          <w:bCs/>
          <w:sz w:val="22"/>
          <w:szCs w:val="22"/>
        </w:rPr>
        <w:t>criação</w:t>
      </w:r>
      <w:r w:rsidR="001272B5" w:rsidRPr="001272B5">
        <w:rPr>
          <w:rFonts w:eastAsia="Verdana"/>
          <w:bCs/>
          <w:sz w:val="22"/>
          <w:szCs w:val="22"/>
        </w:rPr>
        <w:t xml:space="preserve"> da Comissão Temporária de Assistência Técnica</w:t>
      </w:r>
      <w:r w:rsidR="001272B5">
        <w:rPr>
          <w:rFonts w:eastAsia="Verdana"/>
          <w:bCs/>
          <w:sz w:val="22"/>
          <w:szCs w:val="22"/>
        </w:rPr>
        <w:t xml:space="preserve"> do CAU/DF</w:t>
      </w:r>
      <w:r w:rsidR="00AE4662">
        <w:rPr>
          <w:rFonts w:eastAsia="Verdana"/>
          <w:bCs/>
          <w:sz w:val="22"/>
          <w:szCs w:val="22"/>
        </w:rPr>
        <w:t xml:space="preserve"> </w:t>
      </w:r>
      <w:r w:rsidR="00AE4662" w:rsidRPr="00AE4662">
        <w:rPr>
          <w:rFonts w:eastAsia="Verdana"/>
          <w:bCs/>
          <w:sz w:val="22"/>
          <w:szCs w:val="22"/>
        </w:rPr>
        <w:t>com os seguintes membros: conselheira Letícia Miguel Teixeira coordenadora, conselheira Júlia Teixeira Fernandes, conselheiro Raul Wanderley Gradim, conselheiro André Bello, conselheiro Clécio Nonato Rezende</w:t>
      </w:r>
      <w:r w:rsidR="00FE687C">
        <w:rPr>
          <w:rFonts w:eastAsia="Verdana"/>
          <w:bCs/>
          <w:sz w:val="22"/>
          <w:szCs w:val="22"/>
        </w:rPr>
        <w:t>, conselheira Mônica Andréa Blanco</w:t>
      </w:r>
      <w:bookmarkStart w:id="0" w:name="_GoBack"/>
      <w:bookmarkEnd w:id="0"/>
      <w:r w:rsidR="00AE4662" w:rsidRPr="00AE4662">
        <w:rPr>
          <w:rFonts w:eastAsia="Verdana"/>
          <w:bCs/>
          <w:sz w:val="22"/>
          <w:szCs w:val="22"/>
        </w:rPr>
        <w:t xml:space="preserve"> e arquiteto </w:t>
      </w:r>
      <w:r w:rsidR="00FE08A9">
        <w:rPr>
          <w:rFonts w:eastAsia="Verdana"/>
          <w:bCs/>
          <w:sz w:val="22"/>
          <w:szCs w:val="22"/>
        </w:rPr>
        <w:t xml:space="preserve">e urbanista </w:t>
      </w:r>
      <w:r w:rsidR="00AE4662" w:rsidRPr="00AE4662">
        <w:rPr>
          <w:rFonts w:eastAsia="Verdana"/>
          <w:bCs/>
          <w:sz w:val="22"/>
          <w:szCs w:val="22"/>
        </w:rPr>
        <w:t>Luiz Eduardo Sarmento Araújo</w:t>
      </w:r>
      <w:r w:rsidR="00A143F5">
        <w:rPr>
          <w:rFonts w:eastAsia="Verdana"/>
          <w:bCs/>
          <w:sz w:val="22"/>
          <w:szCs w:val="22"/>
        </w:rPr>
        <w:t>; e</w:t>
      </w:r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r w:rsidR="00B8304F">
        <w:rPr>
          <w:b/>
          <w:sz w:val="22"/>
          <w:szCs w:val="22"/>
          <w:lang w:eastAsia="pt-BR"/>
        </w:rPr>
        <w:t>10</w:t>
      </w:r>
      <w:r w:rsidR="00AC1A5E" w:rsidRPr="00791419">
        <w:rPr>
          <w:b/>
          <w:bCs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</w:t>
      </w:r>
      <w:r w:rsidR="001272B5">
        <w:rPr>
          <w:sz w:val="22"/>
          <w:szCs w:val="22"/>
          <w:lang w:eastAsia="pt-BR"/>
        </w:rPr>
        <w:t xml:space="preserve">(as) </w:t>
      </w:r>
      <w:r w:rsidR="003E1D0D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</w:t>
      </w:r>
      <w:r w:rsidR="003E1D0D" w:rsidRPr="003D0183">
        <w:rPr>
          <w:sz w:val="22"/>
          <w:szCs w:val="22"/>
          <w:lang w:eastAsia="pt-BR"/>
        </w:rPr>
        <w:t>:</w:t>
      </w:r>
      <w:r w:rsidR="001272B5">
        <w:rPr>
          <w:sz w:val="22"/>
          <w:szCs w:val="22"/>
          <w:lang w:eastAsia="pt-BR"/>
        </w:rPr>
        <w:t xml:space="preserve"> </w:t>
      </w:r>
      <w:r w:rsidR="00FE08A9" w:rsidRPr="00791419">
        <w:rPr>
          <w:sz w:val="22"/>
          <w:szCs w:val="22"/>
          <w:lang w:eastAsia="pt-BR"/>
        </w:rPr>
        <w:t>Antônio Menezes Junior</w:t>
      </w:r>
      <w:r w:rsidR="00FE08A9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 xml:space="preserve">Daniel Marcos Szwec dos Santos Fernandes, Gabriela de Souza Tenório, Giselle Moll Mascarenhas, Luciana Jobim Navarro,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976C27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João Gilberto de Carvalho Accioly</w:t>
      </w:r>
      <w:r w:rsidR="00B8304F">
        <w:rPr>
          <w:sz w:val="22"/>
          <w:szCs w:val="22"/>
          <w:lang w:eastAsia="pt-BR"/>
        </w:rPr>
        <w:t>,</w:t>
      </w:r>
      <w:r w:rsidR="00976C27">
        <w:rPr>
          <w:sz w:val="22"/>
          <w:szCs w:val="22"/>
          <w:lang w:eastAsia="pt-BR"/>
        </w:rPr>
        <w:t xml:space="preserve"> </w:t>
      </w:r>
      <w:r w:rsidR="00B8304F">
        <w:rPr>
          <w:sz w:val="22"/>
          <w:szCs w:val="22"/>
          <w:lang w:eastAsia="pt-BR"/>
        </w:rPr>
        <w:t>Rogério Markiewicz</w:t>
      </w:r>
      <w:r w:rsidR="003679FE">
        <w:rPr>
          <w:sz w:val="22"/>
          <w:szCs w:val="22"/>
          <w:lang w:eastAsia="pt-BR"/>
        </w:rPr>
        <w:t>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E4C80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FE687C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FE687C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9" w:rsidRDefault="00FE687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9" w:rsidRDefault="00FE687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2B5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442FD"/>
    <w:rsid w:val="002517C8"/>
    <w:rsid w:val="00252812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237E"/>
    <w:rsid w:val="00976C27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3F5"/>
    <w:rsid w:val="00A146ED"/>
    <w:rsid w:val="00A150BB"/>
    <w:rsid w:val="00A17DBF"/>
    <w:rsid w:val="00A21932"/>
    <w:rsid w:val="00A3330C"/>
    <w:rsid w:val="00A34162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6AD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687C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EFDDD9-5FF1-40F7-ACAA-E562D0C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2E52-F16D-4CAD-938B-1F3B4AB3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Phellipe Marccelo Macedo</cp:lastModifiedBy>
  <cp:revision>425</cp:revision>
  <cp:lastPrinted>2017-12-05T12:47:00Z</cp:lastPrinted>
  <dcterms:created xsi:type="dcterms:W3CDTF">2017-11-23T17:05:00Z</dcterms:created>
  <dcterms:modified xsi:type="dcterms:W3CDTF">2018-04-09T13:25:00Z</dcterms:modified>
</cp:coreProperties>
</file>